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A277F" w14:textId="0C7E86A2" w:rsidR="006A36DC" w:rsidRPr="0029194F" w:rsidRDefault="006A36DC" w:rsidP="0029194F">
      <w:pPr>
        <w:pBdr>
          <w:top w:val="single" w:sz="4" w:space="1" w:color="auto"/>
          <w:bottom w:val="single" w:sz="4" w:space="1" w:color="auto"/>
        </w:pBdr>
        <w:tabs>
          <w:tab w:val="left" w:pos="5529"/>
        </w:tabs>
        <w:spacing w:after="120" w:line="240" w:lineRule="auto"/>
        <w:jc w:val="center"/>
        <w:rPr>
          <w:rFonts w:ascii="Times New Roman" w:hAnsi="Times New Roman"/>
          <w:b/>
          <w:bCs/>
          <w:color w:val="000000"/>
          <w:sz w:val="24"/>
        </w:rPr>
      </w:pPr>
      <w:r w:rsidRPr="006A36DC">
        <w:rPr>
          <w:rFonts w:ascii="Times New Roman" w:hAnsi="Times New Roman"/>
          <w:b/>
          <w:bCs/>
          <w:color w:val="000000"/>
          <w:sz w:val="24"/>
        </w:rPr>
        <w:t>LOS CIMIENTOS DE LA PRISIÓN POLÍTICA DE LA DICTADURA: CASO 2014</w:t>
      </w:r>
    </w:p>
    <w:p w14:paraId="46A8453F" w14:textId="4DEF8B82" w:rsidR="0029194F" w:rsidRDefault="005B5684" w:rsidP="007B7A01">
      <w:pPr>
        <w:tabs>
          <w:tab w:val="left" w:pos="5529"/>
        </w:tabs>
        <w:spacing w:after="120" w:line="240" w:lineRule="auto"/>
        <w:jc w:val="both"/>
        <w:rPr>
          <w:rFonts w:ascii="Times New Roman" w:hAnsi="Times New Roman" w:cs="Times New Roman"/>
          <w:sz w:val="24"/>
          <w:szCs w:val="24"/>
        </w:rPr>
      </w:pPr>
      <w:r w:rsidRPr="00C62956">
        <w:rPr>
          <w:rFonts w:ascii="Times New Roman" w:hAnsi="Times New Roman" w:cs="Times New Roman"/>
          <w:sz w:val="24"/>
          <w:szCs w:val="24"/>
        </w:rPr>
        <w:t>Las nueve víctimas de</w:t>
      </w:r>
      <w:r w:rsidR="006A36DC">
        <w:rPr>
          <w:rFonts w:ascii="Times New Roman" w:hAnsi="Times New Roman" w:cs="Times New Roman"/>
          <w:sz w:val="24"/>
          <w:szCs w:val="24"/>
        </w:rPr>
        <w:t xml:space="preserve"> este caso </w:t>
      </w:r>
      <w:r w:rsidRPr="00C62956">
        <w:rPr>
          <w:rFonts w:ascii="Times New Roman" w:hAnsi="Times New Roman" w:cs="Times New Roman"/>
          <w:sz w:val="24"/>
          <w:szCs w:val="24"/>
        </w:rPr>
        <w:t xml:space="preserve">han estado recluidas en condiciones infrahumanas y sometidas </w:t>
      </w:r>
      <w:r w:rsidR="008C3E3A">
        <w:rPr>
          <w:rFonts w:ascii="Times New Roman" w:hAnsi="Times New Roman" w:cs="Times New Roman"/>
          <w:sz w:val="24"/>
          <w:szCs w:val="24"/>
        </w:rPr>
        <w:t xml:space="preserve">a </w:t>
      </w:r>
      <w:r w:rsidRPr="00C62956">
        <w:rPr>
          <w:rFonts w:ascii="Times New Roman" w:hAnsi="Times New Roman" w:cs="Times New Roman"/>
          <w:sz w:val="24"/>
          <w:szCs w:val="24"/>
        </w:rPr>
        <w:t xml:space="preserve">torturas durante más de 10 años. Fueron detenidas en 2014 bajo la imputación de hechos falsos en su contra por su identidad política como opositores. Fueron procesados conjuntamente y se les imputó y condenó por delitos que no </w:t>
      </w:r>
      <w:r w:rsidR="00AD4CA6" w:rsidRPr="00C62956">
        <w:rPr>
          <w:rFonts w:ascii="Times New Roman" w:hAnsi="Times New Roman" w:cs="Times New Roman"/>
          <w:sz w:val="24"/>
          <w:szCs w:val="24"/>
        </w:rPr>
        <w:t>cometieron.</w:t>
      </w:r>
    </w:p>
    <w:p w14:paraId="2A3FCC1A" w14:textId="77777777" w:rsidR="0098713F" w:rsidRDefault="0098713F" w:rsidP="007B7A01">
      <w:pPr>
        <w:tabs>
          <w:tab w:val="left" w:pos="5529"/>
        </w:tabs>
        <w:spacing w:after="120" w:line="240" w:lineRule="auto"/>
        <w:jc w:val="both"/>
        <w:rPr>
          <w:rFonts w:ascii="Times New Roman" w:hAnsi="Times New Roman" w:cs="Times New Roman"/>
          <w:sz w:val="24"/>
          <w:szCs w:val="24"/>
        </w:rPr>
      </w:pPr>
    </w:p>
    <w:p w14:paraId="61A585F4" w14:textId="77777777" w:rsidR="0098713F" w:rsidRDefault="0098713F" w:rsidP="007B7A01">
      <w:pPr>
        <w:tabs>
          <w:tab w:val="left" w:pos="5529"/>
        </w:tabs>
        <w:spacing w:after="120" w:line="240" w:lineRule="auto"/>
        <w:jc w:val="both"/>
        <w:rPr>
          <w:rFonts w:ascii="Times New Roman" w:hAnsi="Times New Roman" w:cs="Times New Roman"/>
          <w:sz w:val="24"/>
          <w:szCs w:val="24"/>
        </w:rPr>
      </w:pPr>
    </w:p>
    <w:sdt>
      <w:sdtPr>
        <w:rPr>
          <w:lang w:val="es-ES"/>
        </w:rPr>
        <w:id w:val="-459422379"/>
        <w:docPartObj>
          <w:docPartGallery w:val="Table of Contents"/>
          <w:docPartUnique/>
        </w:docPartObj>
      </w:sdtPr>
      <w:sdtEndPr>
        <w:rPr>
          <w:rFonts w:ascii="Calibri" w:eastAsia="Calibri" w:hAnsi="Calibri" w:cs="Calibri"/>
          <w:b/>
          <w:bCs/>
          <w:color w:val="auto"/>
          <w:sz w:val="22"/>
          <w:szCs w:val="22"/>
        </w:rPr>
      </w:sdtEndPr>
      <w:sdtContent>
        <w:p w14:paraId="01C8661B" w14:textId="5396466D" w:rsidR="0029194F" w:rsidRPr="00F50CC7" w:rsidRDefault="0029194F" w:rsidP="00F50CC7">
          <w:pPr>
            <w:pStyle w:val="TtuloTDC"/>
            <w:jc w:val="center"/>
            <w:rPr>
              <w:rFonts w:ascii="Times New Roman" w:hAnsi="Times New Roman" w:cs="Times New Roman"/>
              <w:b/>
              <w:bCs/>
              <w:color w:val="auto"/>
              <w:sz w:val="28"/>
              <w:szCs w:val="28"/>
            </w:rPr>
          </w:pPr>
          <w:r w:rsidRPr="00F50CC7">
            <w:rPr>
              <w:rFonts w:ascii="Times New Roman" w:hAnsi="Times New Roman" w:cs="Times New Roman"/>
              <w:b/>
              <w:bCs/>
              <w:color w:val="auto"/>
              <w:sz w:val="28"/>
              <w:szCs w:val="28"/>
              <w:lang w:val="es-ES"/>
            </w:rPr>
            <w:t>Contenido</w:t>
          </w:r>
        </w:p>
        <w:p w14:paraId="5D37E1CC" w14:textId="2907D404" w:rsidR="0098713F" w:rsidRDefault="0029194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r w:rsidRPr="00F50CC7">
            <w:rPr>
              <w:rFonts w:ascii="Times New Roman" w:hAnsi="Times New Roman" w:cs="Times New Roman"/>
            </w:rPr>
            <w:fldChar w:fldCharType="begin"/>
          </w:r>
          <w:r w:rsidRPr="00F50CC7">
            <w:rPr>
              <w:rFonts w:ascii="Times New Roman" w:hAnsi="Times New Roman" w:cs="Times New Roman"/>
            </w:rPr>
            <w:instrText xml:space="preserve"> TOC \o "1-3" \h \z \u </w:instrText>
          </w:r>
          <w:r w:rsidRPr="00F50CC7">
            <w:rPr>
              <w:rFonts w:ascii="Times New Roman" w:hAnsi="Times New Roman" w:cs="Times New Roman"/>
            </w:rPr>
            <w:fldChar w:fldCharType="separate"/>
          </w:r>
          <w:hyperlink w:anchor="_Toc203004167" w:history="1">
            <w:r w:rsidR="0098713F" w:rsidRPr="009F3C95">
              <w:rPr>
                <w:rStyle w:val="Hipervnculo"/>
                <w:rFonts w:ascii="Times New Roman" w:eastAsia="Times New Roman" w:hAnsi="Times New Roman" w:cs="Times New Roman"/>
                <w:i/>
                <w:iCs/>
                <w:noProof/>
              </w:rPr>
              <w:t>a.</w:t>
            </w:r>
            <w:r w:rsidR="0098713F">
              <w:rPr>
                <w:rFonts w:asciiTheme="minorHAnsi" w:eastAsiaTheme="minorEastAsia" w:hAnsiTheme="minorHAnsi" w:cstheme="minorBidi"/>
                <w:noProof/>
                <w:kern w:val="2"/>
                <w:sz w:val="24"/>
                <w:szCs w:val="24"/>
                <w:lang w:val="es-US" w:eastAsia="es-US"/>
                <w14:ligatures w14:val="standardContextual"/>
              </w:rPr>
              <w:tab/>
            </w:r>
            <w:r w:rsidR="0098713F" w:rsidRPr="009F3C95">
              <w:rPr>
                <w:rStyle w:val="Hipervnculo"/>
                <w:rFonts w:ascii="Times New Roman" w:eastAsia="Times New Roman" w:hAnsi="Times New Roman" w:cs="Times New Roman"/>
                <w:i/>
                <w:iCs/>
                <w:noProof/>
              </w:rPr>
              <w:t>Walter José Balmaceda Ruiz</w:t>
            </w:r>
            <w:r w:rsidR="0098713F">
              <w:rPr>
                <w:noProof/>
                <w:webHidden/>
              </w:rPr>
              <w:tab/>
            </w:r>
            <w:r w:rsidR="0098713F">
              <w:rPr>
                <w:noProof/>
                <w:webHidden/>
              </w:rPr>
              <w:fldChar w:fldCharType="begin"/>
            </w:r>
            <w:r w:rsidR="0098713F">
              <w:rPr>
                <w:noProof/>
                <w:webHidden/>
              </w:rPr>
              <w:instrText xml:space="preserve"> PAGEREF _Toc203004167 \h </w:instrText>
            </w:r>
            <w:r w:rsidR="0098713F">
              <w:rPr>
                <w:noProof/>
                <w:webHidden/>
              </w:rPr>
            </w:r>
            <w:r w:rsidR="0098713F">
              <w:rPr>
                <w:noProof/>
                <w:webHidden/>
              </w:rPr>
              <w:fldChar w:fldCharType="separate"/>
            </w:r>
            <w:r w:rsidR="0098713F">
              <w:rPr>
                <w:noProof/>
                <w:webHidden/>
              </w:rPr>
              <w:t>2</w:t>
            </w:r>
            <w:r w:rsidR="0098713F">
              <w:rPr>
                <w:noProof/>
                <w:webHidden/>
              </w:rPr>
              <w:fldChar w:fldCharType="end"/>
            </w:r>
          </w:hyperlink>
        </w:p>
        <w:p w14:paraId="43DE3F6D" w14:textId="151013F4" w:rsidR="0098713F" w:rsidRDefault="0098713F">
          <w:pPr>
            <w:pStyle w:val="TDC1"/>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68" w:history="1">
            <w:r w:rsidRPr="009F3C95">
              <w:rPr>
                <w:rStyle w:val="Hipervnculo"/>
                <w:rFonts w:ascii="Times New Roman" w:eastAsia="Times New Roman" w:hAnsi="Times New Roman" w:cs="Times New Roman"/>
                <w:b/>
                <w:bCs/>
                <w:noProof/>
              </w:rPr>
              <w:t>II.</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b/>
                <w:noProof/>
              </w:rPr>
              <w:t>Contexto de la situación de la criminalización arbitraria de las víctimas</w:t>
            </w:r>
            <w:r>
              <w:rPr>
                <w:noProof/>
                <w:webHidden/>
              </w:rPr>
              <w:tab/>
            </w:r>
            <w:r>
              <w:rPr>
                <w:noProof/>
                <w:webHidden/>
              </w:rPr>
              <w:fldChar w:fldCharType="begin"/>
            </w:r>
            <w:r>
              <w:rPr>
                <w:noProof/>
                <w:webHidden/>
              </w:rPr>
              <w:instrText xml:space="preserve"> PAGEREF _Toc203004168 \h </w:instrText>
            </w:r>
            <w:r>
              <w:rPr>
                <w:noProof/>
                <w:webHidden/>
              </w:rPr>
            </w:r>
            <w:r>
              <w:rPr>
                <w:noProof/>
                <w:webHidden/>
              </w:rPr>
              <w:fldChar w:fldCharType="separate"/>
            </w:r>
            <w:r>
              <w:rPr>
                <w:noProof/>
                <w:webHidden/>
              </w:rPr>
              <w:t>4</w:t>
            </w:r>
            <w:r>
              <w:rPr>
                <w:noProof/>
                <w:webHidden/>
              </w:rPr>
              <w:fldChar w:fldCharType="end"/>
            </w:r>
          </w:hyperlink>
        </w:p>
        <w:p w14:paraId="40341D27" w14:textId="6022562A" w:rsidR="0098713F" w:rsidRDefault="0098713F">
          <w:pPr>
            <w:pStyle w:val="TDC1"/>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69" w:history="1">
            <w:r w:rsidRPr="009F3C95">
              <w:rPr>
                <w:rStyle w:val="Hipervnculo"/>
                <w:rFonts w:ascii="Times New Roman" w:eastAsia="Times New Roman" w:hAnsi="Times New Roman" w:cs="Times New Roman"/>
                <w:b/>
                <w:bCs/>
                <w:noProof/>
              </w:rPr>
              <w:t>III.</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b/>
                <w:noProof/>
              </w:rPr>
              <w:t>Hechos sobre detenciones, torturas, desapariciones forzadas y condiciones carcelarias</w:t>
            </w:r>
            <w:r>
              <w:rPr>
                <w:noProof/>
                <w:webHidden/>
              </w:rPr>
              <w:tab/>
            </w:r>
            <w:r>
              <w:rPr>
                <w:noProof/>
                <w:webHidden/>
              </w:rPr>
              <w:fldChar w:fldCharType="begin"/>
            </w:r>
            <w:r>
              <w:rPr>
                <w:noProof/>
                <w:webHidden/>
              </w:rPr>
              <w:instrText xml:space="preserve"> PAGEREF _Toc203004169 \h </w:instrText>
            </w:r>
            <w:r>
              <w:rPr>
                <w:noProof/>
                <w:webHidden/>
              </w:rPr>
            </w:r>
            <w:r>
              <w:rPr>
                <w:noProof/>
                <w:webHidden/>
              </w:rPr>
              <w:fldChar w:fldCharType="separate"/>
            </w:r>
            <w:r>
              <w:rPr>
                <w:noProof/>
                <w:webHidden/>
              </w:rPr>
              <w:t>6</w:t>
            </w:r>
            <w:r>
              <w:rPr>
                <w:noProof/>
                <w:webHidden/>
              </w:rPr>
              <w:fldChar w:fldCharType="end"/>
            </w:r>
          </w:hyperlink>
        </w:p>
        <w:p w14:paraId="2A4F31DE" w14:textId="49A588D8"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0" w:history="1">
            <w:r w:rsidRPr="009F3C95">
              <w:rPr>
                <w:rStyle w:val="Hipervnculo"/>
                <w:rFonts w:ascii="Times New Roman" w:hAnsi="Times New Roman"/>
                <w:noProof/>
              </w:rPr>
              <w:t>A.</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Detenciones arbitrarias</w:t>
            </w:r>
            <w:r>
              <w:rPr>
                <w:noProof/>
                <w:webHidden/>
              </w:rPr>
              <w:tab/>
            </w:r>
            <w:r>
              <w:rPr>
                <w:noProof/>
                <w:webHidden/>
              </w:rPr>
              <w:fldChar w:fldCharType="begin"/>
            </w:r>
            <w:r>
              <w:rPr>
                <w:noProof/>
                <w:webHidden/>
              </w:rPr>
              <w:instrText xml:space="preserve"> PAGEREF _Toc203004170 \h </w:instrText>
            </w:r>
            <w:r>
              <w:rPr>
                <w:noProof/>
                <w:webHidden/>
              </w:rPr>
            </w:r>
            <w:r>
              <w:rPr>
                <w:noProof/>
                <w:webHidden/>
              </w:rPr>
              <w:fldChar w:fldCharType="separate"/>
            </w:r>
            <w:r>
              <w:rPr>
                <w:noProof/>
                <w:webHidden/>
              </w:rPr>
              <w:t>6</w:t>
            </w:r>
            <w:r>
              <w:rPr>
                <w:noProof/>
                <w:webHidden/>
              </w:rPr>
              <w:fldChar w:fldCharType="end"/>
            </w:r>
          </w:hyperlink>
        </w:p>
        <w:p w14:paraId="3B38DD2D" w14:textId="3304938D"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1" w:history="1">
            <w:r w:rsidRPr="009F3C95">
              <w:rPr>
                <w:rStyle w:val="Hipervnculo"/>
                <w:rFonts w:ascii="Times New Roman" w:hAnsi="Times New Roman"/>
                <w:noProof/>
              </w:rPr>
              <w:t>B.</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Desapariciones forzadas de corta duración como herramienta política para torturar</w:t>
            </w:r>
            <w:r>
              <w:rPr>
                <w:noProof/>
                <w:webHidden/>
              </w:rPr>
              <w:tab/>
            </w:r>
            <w:r>
              <w:rPr>
                <w:noProof/>
                <w:webHidden/>
              </w:rPr>
              <w:fldChar w:fldCharType="begin"/>
            </w:r>
            <w:r>
              <w:rPr>
                <w:noProof/>
                <w:webHidden/>
              </w:rPr>
              <w:instrText xml:space="preserve"> PAGEREF _Toc203004171 \h </w:instrText>
            </w:r>
            <w:r>
              <w:rPr>
                <w:noProof/>
                <w:webHidden/>
              </w:rPr>
            </w:r>
            <w:r>
              <w:rPr>
                <w:noProof/>
                <w:webHidden/>
              </w:rPr>
              <w:fldChar w:fldCharType="separate"/>
            </w:r>
            <w:r>
              <w:rPr>
                <w:noProof/>
                <w:webHidden/>
              </w:rPr>
              <w:t>7</w:t>
            </w:r>
            <w:r>
              <w:rPr>
                <w:noProof/>
                <w:webHidden/>
              </w:rPr>
              <w:fldChar w:fldCharType="end"/>
            </w:r>
          </w:hyperlink>
        </w:p>
        <w:p w14:paraId="0F89E4C9" w14:textId="1C0765A9"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2" w:history="1">
            <w:r w:rsidRPr="009F3C95">
              <w:rPr>
                <w:rStyle w:val="Hipervnculo"/>
                <w:rFonts w:ascii="Times New Roman" w:hAnsi="Times New Roman"/>
                <w:noProof/>
              </w:rPr>
              <w:t>C.</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Del Chipote al penal La Modelo: condiciones carcelarias actuales y situación médica</w:t>
            </w:r>
            <w:r>
              <w:rPr>
                <w:noProof/>
                <w:webHidden/>
              </w:rPr>
              <w:tab/>
            </w:r>
            <w:r>
              <w:rPr>
                <w:noProof/>
                <w:webHidden/>
              </w:rPr>
              <w:fldChar w:fldCharType="begin"/>
            </w:r>
            <w:r>
              <w:rPr>
                <w:noProof/>
                <w:webHidden/>
              </w:rPr>
              <w:instrText xml:space="preserve"> PAGEREF _Toc203004172 \h </w:instrText>
            </w:r>
            <w:r>
              <w:rPr>
                <w:noProof/>
                <w:webHidden/>
              </w:rPr>
            </w:r>
            <w:r>
              <w:rPr>
                <w:noProof/>
                <w:webHidden/>
              </w:rPr>
              <w:fldChar w:fldCharType="separate"/>
            </w:r>
            <w:r>
              <w:rPr>
                <w:noProof/>
                <w:webHidden/>
              </w:rPr>
              <w:t>8</w:t>
            </w:r>
            <w:r>
              <w:rPr>
                <w:noProof/>
                <w:webHidden/>
              </w:rPr>
              <w:fldChar w:fldCharType="end"/>
            </w:r>
          </w:hyperlink>
        </w:p>
        <w:p w14:paraId="381AB9E7" w14:textId="738BC647" w:rsidR="0098713F" w:rsidRDefault="0098713F">
          <w:pPr>
            <w:pStyle w:val="TDC1"/>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3" w:history="1">
            <w:r w:rsidRPr="009F3C95">
              <w:rPr>
                <w:rStyle w:val="Hipervnculo"/>
                <w:rFonts w:ascii="Times New Roman" w:eastAsia="Times New Roman" w:hAnsi="Times New Roman" w:cs="Times New Roman"/>
                <w:b/>
                <w:bCs/>
                <w:noProof/>
              </w:rPr>
              <w:t>IV.</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b/>
                <w:noProof/>
              </w:rPr>
              <w:t>Fundamentación jurídica de la privación arbitraria de la libertad</w:t>
            </w:r>
            <w:r>
              <w:rPr>
                <w:noProof/>
                <w:webHidden/>
              </w:rPr>
              <w:tab/>
            </w:r>
            <w:r>
              <w:rPr>
                <w:noProof/>
                <w:webHidden/>
              </w:rPr>
              <w:fldChar w:fldCharType="begin"/>
            </w:r>
            <w:r>
              <w:rPr>
                <w:noProof/>
                <w:webHidden/>
              </w:rPr>
              <w:instrText xml:space="preserve"> PAGEREF _Toc203004173 \h </w:instrText>
            </w:r>
            <w:r>
              <w:rPr>
                <w:noProof/>
                <w:webHidden/>
              </w:rPr>
            </w:r>
            <w:r>
              <w:rPr>
                <w:noProof/>
                <w:webHidden/>
              </w:rPr>
              <w:fldChar w:fldCharType="separate"/>
            </w:r>
            <w:r>
              <w:rPr>
                <w:noProof/>
                <w:webHidden/>
              </w:rPr>
              <w:t>10</w:t>
            </w:r>
            <w:r>
              <w:rPr>
                <w:noProof/>
                <w:webHidden/>
              </w:rPr>
              <w:fldChar w:fldCharType="end"/>
            </w:r>
          </w:hyperlink>
        </w:p>
        <w:p w14:paraId="745AA64F" w14:textId="18A2B87D"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4" w:history="1">
            <w:r w:rsidRPr="009F3C95">
              <w:rPr>
                <w:rStyle w:val="Hipervnculo"/>
                <w:rFonts w:ascii="Times New Roman" w:hAnsi="Times New Roman"/>
                <w:noProof/>
              </w:rPr>
              <w:t>A.</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Incurrencia en la categoría I de los Métodos de Trabajo del Grupo de Trabajo sobre Detención Arbitraria de Naciones Unidas (GTDA)</w:t>
            </w:r>
            <w:r>
              <w:rPr>
                <w:noProof/>
                <w:webHidden/>
              </w:rPr>
              <w:tab/>
            </w:r>
            <w:r>
              <w:rPr>
                <w:noProof/>
                <w:webHidden/>
              </w:rPr>
              <w:fldChar w:fldCharType="begin"/>
            </w:r>
            <w:r>
              <w:rPr>
                <w:noProof/>
                <w:webHidden/>
              </w:rPr>
              <w:instrText xml:space="preserve"> PAGEREF _Toc203004174 \h </w:instrText>
            </w:r>
            <w:r>
              <w:rPr>
                <w:noProof/>
                <w:webHidden/>
              </w:rPr>
            </w:r>
            <w:r>
              <w:rPr>
                <w:noProof/>
                <w:webHidden/>
              </w:rPr>
              <w:fldChar w:fldCharType="separate"/>
            </w:r>
            <w:r>
              <w:rPr>
                <w:noProof/>
                <w:webHidden/>
              </w:rPr>
              <w:t>10</w:t>
            </w:r>
            <w:r>
              <w:rPr>
                <w:noProof/>
                <w:webHidden/>
              </w:rPr>
              <w:fldChar w:fldCharType="end"/>
            </w:r>
          </w:hyperlink>
        </w:p>
        <w:p w14:paraId="54AB2B45" w14:textId="65D5329A"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5" w:history="1">
            <w:r w:rsidRPr="009F3C95">
              <w:rPr>
                <w:rStyle w:val="Hipervnculo"/>
                <w:rFonts w:ascii="Times New Roman" w:eastAsiaTheme="majorEastAsia" w:hAnsi="Times New Roman" w:cstheme="majorBidi"/>
                <w:noProof/>
              </w:rPr>
              <w:t>B.</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Incurrencia en las categorías II y V de los Métodos de Trabajo del GTDA</w:t>
            </w:r>
            <w:r>
              <w:rPr>
                <w:noProof/>
                <w:webHidden/>
              </w:rPr>
              <w:tab/>
            </w:r>
            <w:r>
              <w:rPr>
                <w:noProof/>
                <w:webHidden/>
              </w:rPr>
              <w:fldChar w:fldCharType="begin"/>
            </w:r>
            <w:r>
              <w:rPr>
                <w:noProof/>
                <w:webHidden/>
              </w:rPr>
              <w:instrText xml:space="preserve"> PAGEREF _Toc203004175 \h </w:instrText>
            </w:r>
            <w:r>
              <w:rPr>
                <w:noProof/>
                <w:webHidden/>
              </w:rPr>
            </w:r>
            <w:r>
              <w:rPr>
                <w:noProof/>
                <w:webHidden/>
              </w:rPr>
              <w:fldChar w:fldCharType="separate"/>
            </w:r>
            <w:r>
              <w:rPr>
                <w:noProof/>
                <w:webHidden/>
              </w:rPr>
              <w:t>11</w:t>
            </w:r>
            <w:r>
              <w:rPr>
                <w:noProof/>
                <w:webHidden/>
              </w:rPr>
              <w:fldChar w:fldCharType="end"/>
            </w:r>
          </w:hyperlink>
        </w:p>
        <w:p w14:paraId="45A7D899" w14:textId="7990F3B1" w:rsidR="0098713F" w:rsidRDefault="0098713F">
          <w:pPr>
            <w:pStyle w:val="TDC2"/>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6" w:history="1">
            <w:r w:rsidRPr="009F3C95">
              <w:rPr>
                <w:rStyle w:val="Hipervnculo"/>
                <w:rFonts w:ascii="Times New Roman" w:eastAsiaTheme="majorEastAsia" w:hAnsi="Times New Roman" w:cstheme="majorBidi"/>
                <w:noProof/>
              </w:rPr>
              <w:t>C.</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noProof/>
              </w:rPr>
              <w:t>Incurrencia en la categoría III de los Métodos de Trabajo del GTDA</w:t>
            </w:r>
            <w:r>
              <w:rPr>
                <w:noProof/>
                <w:webHidden/>
              </w:rPr>
              <w:tab/>
            </w:r>
            <w:r>
              <w:rPr>
                <w:noProof/>
                <w:webHidden/>
              </w:rPr>
              <w:fldChar w:fldCharType="begin"/>
            </w:r>
            <w:r>
              <w:rPr>
                <w:noProof/>
                <w:webHidden/>
              </w:rPr>
              <w:instrText xml:space="preserve"> PAGEREF _Toc203004176 \h </w:instrText>
            </w:r>
            <w:r>
              <w:rPr>
                <w:noProof/>
                <w:webHidden/>
              </w:rPr>
            </w:r>
            <w:r>
              <w:rPr>
                <w:noProof/>
                <w:webHidden/>
              </w:rPr>
              <w:fldChar w:fldCharType="separate"/>
            </w:r>
            <w:r>
              <w:rPr>
                <w:noProof/>
                <w:webHidden/>
              </w:rPr>
              <w:t>12</w:t>
            </w:r>
            <w:r>
              <w:rPr>
                <w:noProof/>
                <w:webHidden/>
              </w:rPr>
              <w:fldChar w:fldCharType="end"/>
            </w:r>
          </w:hyperlink>
        </w:p>
        <w:p w14:paraId="532D39F3" w14:textId="1690627A"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7" w:history="1">
            <w:r w:rsidRPr="009F3C95">
              <w:rPr>
                <w:rStyle w:val="Hipervnculo"/>
                <w:rFonts w:ascii="Times New Roman" w:eastAsia="Times New Roman" w:hAnsi="Times New Roman" w:cs="Times New Roman"/>
                <w:noProof/>
              </w:rPr>
              <w:t>a.</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al derecho al control judicial de la reclusión “sin demora” (arts. 9 de la DUDH y 9.3 del Pacto) y a ser informada de la acusación de manera pronta (art. 14.3.a del Pacto)</w:t>
            </w:r>
            <w:r>
              <w:rPr>
                <w:noProof/>
                <w:webHidden/>
              </w:rPr>
              <w:tab/>
            </w:r>
            <w:r>
              <w:rPr>
                <w:noProof/>
                <w:webHidden/>
              </w:rPr>
              <w:fldChar w:fldCharType="begin"/>
            </w:r>
            <w:r>
              <w:rPr>
                <w:noProof/>
                <w:webHidden/>
              </w:rPr>
              <w:instrText xml:space="preserve"> PAGEREF _Toc203004177 \h </w:instrText>
            </w:r>
            <w:r>
              <w:rPr>
                <w:noProof/>
                <w:webHidden/>
              </w:rPr>
            </w:r>
            <w:r>
              <w:rPr>
                <w:noProof/>
                <w:webHidden/>
              </w:rPr>
              <w:fldChar w:fldCharType="separate"/>
            </w:r>
            <w:r>
              <w:rPr>
                <w:noProof/>
                <w:webHidden/>
              </w:rPr>
              <w:t>12</w:t>
            </w:r>
            <w:r>
              <w:rPr>
                <w:noProof/>
                <w:webHidden/>
              </w:rPr>
              <w:fldChar w:fldCharType="end"/>
            </w:r>
          </w:hyperlink>
        </w:p>
        <w:p w14:paraId="09150D5A" w14:textId="7DD2945A"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8" w:history="1">
            <w:r w:rsidRPr="009F3C95">
              <w:rPr>
                <w:rStyle w:val="Hipervnculo"/>
                <w:rFonts w:ascii="Times New Roman" w:eastAsia="Times New Roman" w:hAnsi="Times New Roman" w:cs="Times New Roman"/>
                <w:i/>
                <w:noProof/>
              </w:rPr>
              <w:t>b.</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 las garantías de independencia e imparcialidad judicial, juez competente, y al principio de igualdad ante la ley (arts. 7 y 10 de la DUDH y 14.1 del Pacto) en conexión derecho a un recurso efectivo (art. 8 de la DUDH)</w:t>
            </w:r>
            <w:r>
              <w:rPr>
                <w:noProof/>
                <w:webHidden/>
              </w:rPr>
              <w:tab/>
            </w:r>
            <w:r>
              <w:rPr>
                <w:noProof/>
                <w:webHidden/>
              </w:rPr>
              <w:fldChar w:fldCharType="begin"/>
            </w:r>
            <w:r>
              <w:rPr>
                <w:noProof/>
                <w:webHidden/>
              </w:rPr>
              <w:instrText xml:space="preserve"> PAGEREF _Toc203004178 \h </w:instrText>
            </w:r>
            <w:r>
              <w:rPr>
                <w:noProof/>
                <w:webHidden/>
              </w:rPr>
            </w:r>
            <w:r>
              <w:rPr>
                <w:noProof/>
                <w:webHidden/>
              </w:rPr>
              <w:fldChar w:fldCharType="separate"/>
            </w:r>
            <w:r>
              <w:rPr>
                <w:noProof/>
                <w:webHidden/>
              </w:rPr>
              <w:t>13</w:t>
            </w:r>
            <w:r>
              <w:rPr>
                <w:noProof/>
                <w:webHidden/>
              </w:rPr>
              <w:fldChar w:fldCharType="end"/>
            </w:r>
          </w:hyperlink>
        </w:p>
        <w:p w14:paraId="07ADE2A8" w14:textId="11CD5257"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79" w:history="1">
            <w:r w:rsidRPr="009F3C95">
              <w:rPr>
                <w:rStyle w:val="Hipervnculo"/>
                <w:rFonts w:ascii="Times New Roman" w:eastAsia="Times New Roman" w:hAnsi="Times New Roman" w:cs="Times New Roman"/>
                <w:i/>
                <w:noProof/>
              </w:rPr>
              <w:t>c.</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al principio de presunción de inocencia (arts. 11.1 de la DUDH y 14.2 del Pacto)</w:t>
            </w:r>
            <w:r>
              <w:rPr>
                <w:noProof/>
                <w:webHidden/>
              </w:rPr>
              <w:tab/>
            </w:r>
            <w:r>
              <w:rPr>
                <w:noProof/>
                <w:webHidden/>
              </w:rPr>
              <w:fldChar w:fldCharType="begin"/>
            </w:r>
            <w:r>
              <w:rPr>
                <w:noProof/>
                <w:webHidden/>
              </w:rPr>
              <w:instrText xml:space="preserve"> PAGEREF _Toc203004179 \h </w:instrText>
            </w:r>
            <w:r>
              <w:rPr>
                <w:noProof/>
                <w:webHidden/>
              </w:rPr>
            </w:r>
            <w:r>
              <w:rPr>
                <w:noProof/>
                <w:webHidden/>
              </w:rPr>
              <w:fldChar w:fldCharType="separate"/>
            </w:r>
            <w:r>
              <w:rPr>
                <w:noProof/>
                <w:webHidden/>
              </w:rPr>
              <w:t>14</w:t>
            </w:r>
            <w:r>
              <w:rPr>
                <w:noProof/>
                <w:webHidden/>
              </w:rPr>
              <w:fldChar w:fldCharType="end"/>
            </w:r>
          </w:hyperlink>
        </w:p>
        <w:p w14:paraId="34DCF9E9" w14:textId="0311A3FC"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80" w:history="1">
            <w:r w:rsidRPr="009F3C95">
              <w:rPr>
                <w:rStyle w:val="Hipervnculo"/>
                <w:rFonts w:ascii="Times New Roman" w:eastAsia="Times New Roman" w:hAnsi="Times New Roman" w:cs="Times New Roman"/>
                <w:i/>
                <w:noProof/>
              </w:rPr>
              <w:t>d.</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al derecho a la defensa (arts. 11.1 de la DUDH y 14.3.b y 14.3.d del Pacto)</w:t>
            </w:r>
            <w:r>
              <w:rPr>
                <w:noProof/>
                <w:webHidden/>
              </w:rPr>
              <w:tab/>
            </w:r>
            <w:r>
              <w:rPr>
                <w:noProof/>
                <w:webHidden/>
              </w:rPr>
              <w:fldChar w:fldCharType="begin"/>
            </w:r>
            <w:r>
              <w:rPr>
                <w:noProof/>
                <w:webHidden/>
              </w:rPr>
              <w:instrText xml:space="preserve"> PAGEREF _Toc203004180 \h </w:instrText>
            </w:r>
            <w:r>
              <w:rPr>
                <w:noProof/>
                <w:webHidden/>
              </w:rPr>
            </w:r>
            <w:r>
              <w:rPr>
                <w:noProof/>
                <w:webHidden/>
              </w:rPr>
              <w:fldChar w:fldCharType="separate"/>
            </w:r>
            <w:r>
              <w:rPr>
                <w:noProof/>
                <w:webHidden/>
              </w:rPr>
              <w:t>15</w:t>
            </w:r>
            <w:r>
              <w:rPr>
                <w:noProof/>
                <w:webHidden/>
              </w:rPr>
              <w:fldChar w:fldCharType="end"/>
            </w:r>
          </w:hyperlink>
        </w:p>
        <w:p w14:paraId="1C6C1FEF" w14:textId="07733461"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81" w:history="1">
            <w:r w:rsidRPr="009F3C95">
              <w:rPr>
                <w:rStyle w:val="Hipervnculo"/>
                <w:rFonts w:ascii="Times New Roman" w:eastAsia="Times New Roman" w:hAnsi="Times New Roman" w:cs="Times New Roman"/>
                <w:i/>
                <w:noProof/>
              </w:rPr>
              <w:t>e.</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Derecho a ser juzgado sin dilaciones (artículos 11.1 de la DUDH y 14.3.c) del Pacto)</w:t>
            </w:r>
            <w:r>
              <w:rPr>
                <w:noProof/>
                <w:webHidden/>
              </w:rPr>
              <w:tab/>
            </w:r>
            <w:r>
              <w:rPr>
                <w:noProof/>
                <w:webHidden/>
              </w:rPr>
              <w:fldChar w:fldCharType="begin"/>
            </w:r>
            <w:r>
              <w:rPr>
                <w:noProof/>
                <w:webHidden/>
              </w:rPr>
              <w:instrText xml:space="preserve"> PAGEREF _Toc203004181 \h </w:instrText>
            </w:r>
            <w:r>
              <w:rPr>
                <w:noProof/>
                <w:webHidden/>
              </w:rPr>
            </w:r>
            <w:r>
              <w:rPr>
                <w:noProof/>
                <w:webHidden/>
              </w:rPr>
              <w:fldChar w:fldCharType="separate"/>
            </w:r>
            <w:r>
              <w:rPr>
                <w:noProof/>
                <w:webHidden/>
              </w:rPr>
              <w:t>16</w:t>
            </w:r>
            <w:r>
              <w:rPr>
                <w:noProof/>
                <w:webHidden/>
              </w:rPr>
              <w:fldChar w:fldCharType="end"/>
            </w:r>
          </w:hyperlink>
        </w:p>
        <w:p w14:paraId="7B11E7D1" w14:textId="343F81F6"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82" w:history="1">
            <w:r w:rsidRPr="009F3C95">
              <w:rPr>
                <w:rStyle w:val="Hipervnculo"/>
                <w:rFonts w:ascii="Times New Roman" w:eastAsia="Times New Roman" w:hAnsi="Times New Roman" w:cs="Times New Roman"/>
                <w:i/>
                <w:noProof/>
              </w:rPr>
              <w:t>f.</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al derecho a no ser obligados a declarar contra sí mismo ni a confesarse culpables (art. 14.3.g del Pacto)</w:t>
            </w:r>
            <w:r>
              <w:rPr>
                <w:noProof/>
                <w:webHidden/>
              </w:rPr>
              <w:tab/>
            </w:r>
            <w:r>
              <w:rPr>
                <w:noProof/>
                <w:webHidden/>
              </w:rPr>
              <w:fldChar w:fldCharType="begin"/>
            </w:r>
            <w:r>
              <w:rPr>
                <w:noProof/>
                <w:webHidden/>
              </w:rPr>
              <w:instrText xml:space="preserve"> PAGEREF _Toc203004182 \h </w:instrText>
            </w:r>
            <w:r>
              <w:rPr>
                <w:noProof/>
                <w:webHidden/>
              </w:rPr>
            </w:r>
            <w:r>
              <w:rPr>
                <w:noProof/>
                <w:webHidden/>
              </w:rPr>
              <w:fldChar w:fldCharType="separate"/>
            </w:r>
            <w:r>
              <w:rPr>
                <w:noProof/>
                <w:webHidden/>
              </w:rPr>
              <w:t>17</w:t>
            </w:r>
            <w:r>
              <w:rPr>
                <w:noProof/>
                <w:webHidden/>
              </w:rPr>
              <w:fldChar w:fldCharType="end"/>
            </w:r>
          </w:hyperlink>
        </w:p>
        <w:p w14:paraId="78F72E84" w14:textId="01EF2362" w:rsidR="0098713F" w:rsidRDefault="0098713F">
          <w:pPr>
            <w:pStyle w:val="TDC3"/>
            <w:tabs>
              <w:tab w:val="left" w:pos="96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83" w:history="1">
            <w:r w:rsidRPr="009F3C95">
              <w:rPr>
                <w:rStyle w:val="Hipervnculo"/>
                <w:rFonts w:ascii="Times New Roman" w:eastAsia="Times New Roman" w:hAnsi="Times New Roman" w:cs="Times New Roman"/>
                <w:i/>
                <w:noProof/>
              </w:rPr>
              <w:t>g.</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i/>
                <w:noProof/>
              </w:rPr>
              <w:t>Violación a las garantías de motivación del fallo y de recurrir el fallo (art. 14.5 del Pacto)</w:t>
            </w:r>
            <w:r>
              <w:rPr>
                <w:noProof/>
                <w:webHidden/>
              </w:rPr>
              <w:tab/>
            </w:r>
            <w:r>
              <w:rPr>
                <w:noProof/>
                <w:webHidden/>
              </w:rPr>
              <w:fldChar w:fldCharType="begin"/>
            </w:r>
            <w:r>
              <w:rPr>
                <w:noProof/>
                <w:webHidden/>
              </w:rPr>
              <w:instrText xml:space="preserve"> PAGEREF _Toc203004183 \h </w:instrText>
            </w:r>
            <w:r>
              <w:rPr>
                <w:noProof/>
                <w:webHidden/>
              </w:rPr>
            </w:r>
            <w:r>
              <w:rPr>
                <w:noProof/>
                <w:webHidden/>
              </w:rPr>
              <w:fldChar w:fldCharType="separate"/>
            </w:r>
            <w:r>
              <w:rPr>
                <w:noProof/>
                <w:webHidden/>
              </w:rPr>
              <w:t>17</w:t>
            </w:r>
            <w:r>
              <w:rPr>
                <w:noProof/>
                <w:webHidden/>
              </w:rPr>
              <w:fldChar w:fldCharType="end"/>
            </w:r>
          </w:hyperlink>
        </w:p>
        <w:p w14:paraId="3DC065E1" w14:textId="31209C08" w:rsidR="0098713F" w:rsidRDefault="0098713F">
          <w:pPr>
            <w:pStyle w:val="TDC1"/>
            <w:tabs>
              <w:tab w:val="left" w:pos="720"/>
              <w:tab w:val="right" w:leader="dot" w:pos="9350"/>
            </w:tabs>
            <w:rPr>
              <w:rFonts w:asciiTheme="minorHAnsi" w:eastAsiaTheme="minorEastAsia" w:hAnsiTheme="minorHAnsi" w:cstheme="minorBidi"/>
              <w:noProof/>
              <w:kern w:val="2"/>
              <w:sz w:val="24"/>
              <w:szCs w:val="24"/>
              <w:lang w:val="es-US" w:eastAsia="es-US"/>
              <w14:ligatures w14:val="standardContextual"/>
            </w:rPr>
          </w:pPr>
          <w:hyperlink w:anchor="_Toc203004184" w:history="1">
            <w:r w:rsidRPr="009F3C95">
              <w:rPr>
                <w:rStyle w:val="Hipervnculo"/>
                <w:rFonts w:ascii="Times New Roman" w:eastAsia="Times New Roman" w:hAnsi="Times New Roman" w:cs="Times New Roman"/>
                <w:b/>
                <w:bCs/>
                <w:noProof/>
              </w:rPr>
              <w:t>V.</w:t>
            </w:r>
            <w:r>
              <w:rPr>
                <w:rFonts w:asciiTheme="minorHAnsi" w:eastAsiaTheme="minorEastAsia" w:hAnsiTheme="minorHAnsi" w:cstheme="minorBidi"/>
                <w:noProof/>
                <w:kern w:val="2"/>
                <w:sz w:val="24"/>
                <w:szCs w:val="24"/>
                <w:lang w:val="es-US" w:eastAsia="es-US"/>
                <w14:ligatures w14:val="standardContextual"/>
              </w:rPr>
              <w:tab/>
            </w:r>
            <w:r w:rsidRPr="009F3C95">
              <w:rPr>
                <w:rStyle w:val="Hipervnculo"/>
                <w:rFonts w:ascii="Times New Roman" w:hAnsi="Times New Roman"/>
                <w:b/>
                <w:noProof/>
              </w:rPr>
              <w:t>Autoridades responsables de la arbitraria privación de la libertad</w:t>
            </w:r>
            <w:r>
              <w:rPr>
                <w:noProof/>
                <w:webHidden/>
              </w:rPr>
              <w:tab/>
            </w:r>
            <w:r>
              <w:rPr>
                <w:noProof/>
                <w:webHidden/>
              </w:rPr>
              <w:fldChar w:fldCharType="begin"/>
            </w:r>
            <w:r>
              <w:rPr>
                <w:noProof/>
                <w:webHidden/>
              </w:rPr>
              <w:instrText xml:space="preserve"> PAGEREF _Toc203004184 \h </w:instrText>
            </w:r>
            <w:r>
              <w:rPr>
                <w:noProof/>
                <w:webHidden/>
              </w:rPr>
            </w:r>
            <w:r>
              <w:rPr>
                <w:noProof/>
                <w:webHidden/>
              </w:rPr>
              <w:fldChar w:fldCharType="separate"/>
            </w:r>
            <w:r>
              <w:rPr>
                <w:noProof/>
                <w:webHidden/>
              </w:rPr>
              <w:t>18</w:t>
            </w:r>
            <w:r>
              <w:rPr>
                <w:noProof/>
                <w:webHidden/>
              </w:rPr>
              <w:fldChar w:fldCharType="end"/>
            </w:r>
          </w:hyperlink>
        </w:p>
        <w:p w14:paraId="0001C1D3" w14:textId="1911402F" w:rsidR="0029194F" w:rsidRDefault="0029194F">
          <w:pPr>
            <w:rPr>
              <w:b/>
              <w:bCs/>
              <w:lang w:val="es-ES"/>
            </w:rPr>
          </w:pPr>
          <w:r w:rsidRPr="00F50CC7">
            <w:rPr>
              <w:rFonts w:ascii="Times New Roman" w:hAnsi="Times New Roman" w:cs="Times New Roman"/>
              <w:b/>
              <w:bCs/>
              <w:lang w:val="es-ES"/>
            </w:rPr>
            <w:fldChar w:fldCharType="end"/>
          </w:r>
        </w:p>
      </w:sdtContent>
    </w:sdt>
    <w:p w14:paraId="0FA6D078" w14:textId="77777777" w:rsidR="004A3166" w:rsidRDefault="004A3166">
      <w:pPr>
        <w:rPr>
          <w:b/>
          <w:bCs/>
          <w:lang w:val="es-ES"/>
        </w:rPr>
      </w:pPr>
    </w:p>
    <w:p w14:paraId="6FCD0178" w14:textId="77777777" w:rsidR="0029194F" w:rsidRDefault="0029194F" w:rsidP="007B7A01">
      <w:pPr>
        <w:tabs>
          <w:tab w:val="left" w:pos="5529"/>
        </w:tabs>
        <w:spacing w:after="120" w:line="240" w:lineRule="auto"/>
        <w:jc w:val="both"/>
        <w:rPr>
          <w:rFonts w:ascii="Times New Roman" w:hAnsi="Times New Roman" w:cs="Times New Roman"/>
          <w:sz w:val="24"/>
          <w:szCs w:val="24"/>
        </w:rPr>
      </w:pPr>
    </w:p>
    <w:p w14:paraId="6B004E4A" w14:textId="77777777" w:rsidR="0029194F" w:rsidRPr="00C62956" w:rsidRDefault="0029194F" w:rsidP="007B7A01">
      <w:pPr>
        <w:tabs>
          <w:tab w:val="left" w:pos="5529"/>
        </w:tabs>
        <w:spacing w:after="120" w:line="240" w:lineRule="auto"/>
        <w:jc w:val="both"/>
        <w:rPr>
          <w:rFonts w:ascii="Times New Roman" w:eastAsia="Times New Roman" w:hAnsi="Times New Roman" w:cs="Times New Roman"/>
          <w:b/>
          <w:color w:val="000000"/>
          <w:sz w:val="24"/>
          <w:szCs w:val="24"/>
        </w:rPr>
      </w:pPr>
    </w:p>
    <w:p w14:paraId="6B2B977B" w14:textId="316A5047" w:rsidR="004A3166" w:rsidRPr="004A3166" w:rsidRDefault="005B5684" w:rsidP="004A3166">
      <w:pPr>
        <w:pStyle w:val="Prrafodelista"/>
        <w:numPr>
          <w:ilvl w:val="0"/>
          <w:numId w:val="12"/>
        </w:numPr>
        <w:rPr>
          <w:rFonts w:ascii="Times New Roman" w:hAnsi="Times New Roman" w:cs="Times New Roman"/>
          <w:b/>
          <w:sz w:val="24"/>
        </w:rPr>
      </w:pPr>
      <w:r w:rsidRPr="004A3166">
        <w:rPr>
          <w:rFonts w:ascii="Times New Roman" w:hAnsi="Times New Roman" w:cs="Times New Roman"/>
          <w:b/>
          <w:sz w:val="24"/>
        </w:rPr>
        <w:lastRenderedPageBreak/>
        <w:t>Identificación de las víctimas</w:t>
      </w:r>
      <w:bookmarkStart w:id="0" w:name="_heading=h.2et92p0" w:colFirst="0" w:colLast="0"/>
      <w:bookmarkEnd w:id="0"/>
    </w:p>
    <w:p w14:paraId="16D5860F" w14:textId="1D334DF7" w:rsidR="004A3166" w:rsidRPr="004A3166" w:rsidRDefault="004A3166" w:rsidP="004A3166">
      <w:pPr>
        <w:pStyle w:val="Prrafodelista"/>
        <w:numPr>
          <w:ilvl w:val="1"/>
          <w:numId w:val="11"/>
        </w:numPr>
        <w:spacing w:after="120" w:line="240" w:lineRule="auto"/>
        <w:jc w:val="both"/>
        <w:outlineLvl w:val="2"/>
        <w:rPr>
          <w:rFonts w:ascii="Times New Roman" w:eastAsia="Times New Roman" w:hAnsi="Times New Roman" w:cs="Times New Roman"/>
          <w:i/>
          <w:iCs/>
          <w:sz w:val="24"/>
          <w:szCs w:val="24"/>
        </w:rPr>
      </w:pPr>
      <w:bookmarkStart w:id="1" w:name="_Toc183739905"/>
      <w:bookmarkStart w:id="2" w:name="_Toc203004167"/>
      <w:r w:rsidRPr="00244087">
        <w:rPr>
          <w:rFonts w:ascii="Times New Roman" w:eastAsia="Times New Roman" w:hAnsi="Times New Roman" w:cs="Times New Roman"/>
          <w:i/>
          <w:iCs/>
          <w:sz w:val="24"/>
          <w:szCs w:val="24"/>
        </w:rPr>
        <w:t>Walter José Balmaceda Ruiz</w:t>
      </w:r>
      <w:bookmarkEnd w:id="1"/>
      <w:bookmarkEnd w:id="2"/>
      <w:r w:rsidRPr="00244087">
        <w:rPr>
          <w:rFonts w:ascii="Times New Roman" w:eastAsia="Times New Roman" w:hAnsi="Times New Roman" w:cs="Times New Roman"/>
          <w:i/>
          <w:iCs/>
          <w:sz w:val="24"/>
          <w:szCs w:val="24"/>
        </w:rPr>
        <w:t xml:space="preserve"> </w:t>
      </w:r>
    </w:p>
    <w:p w14:paraId="32947BFA" w14:textId="44657F97" w:rsidR="004A3166" w:rsidRPr="004B7220"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23 de febrero de 1980 en Ciudad Darío, donde creció junto a su familia, estudió hasta bachillerarse y formó su propia familia.  El señor Walter Balmaceda se caracteriza por ser una persona trabajadora y que no se da por vencido hasta lograr sus proyectos personales y laborales, ya que tenía diversos negocios en el sector agrícola y transporte (tenía varias unidades de buses, las cuales las alquilaba para los actos de aniversarios de la revolución sandinista el 19 de julio de cada año), y también tenía un estudio fotográfico. Además, se caracteriza por ser una persona que siempre ha simpatizado con los partidos liberales en Nicaragua. Desde muy joven (alrededor de los 30 años) empezó a padecer de diabetes e hipertensión, lo cual lo hacía estar sometido a medicamentos diario para proteger su salud desde antes de ser detenido.</w:t>
      </w:r>
    </w:p>
    <w:p w14:paraId="0F857E80" w14:textId="120CDCF2"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3" w:name="_Toc183739906"/>
      <w:r w:rsidRPr="00244087">
        <w:rPr>
          <w:rFonts w:ascii="Times New Roman" w:eastAsia="Times New Roman" w:hAnsi="Times New Roman" w:cs="Times New Roman"/>
          <w:i/>
          <w:iCs/>
          <w:sz w:val="24"/>
          <w:szCs w:val="24"/>
        </w:rPr>
        <w:t>José Ricardo Cortez Dávila</w:t>
      </w:r>
      <w:bookmarkEnd w:id="3"/>
      <w:r w:rsidRPr="00244087">
        <w:rPr>
          <w:rFonts w:ascii="Times New Roman" w:eastAsia="Times New Roman" w:hAnsi="Times New Roman" w:cs="Times New Roman"/>
          <w:i/>
          <w:iCs/>
          <w:sz w:val="24"/>
          <w:szCs w:val="24"/>
        </w:rPr>
        <w:t xml:space="preserve"> </w:t>
      </w:r>
    </w:p>
    <w:p w14:paraId="0F52A97A" w14:textId="7441712D" w:rsidR="004A3166"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ació el 9 de agosto de 1953 en el municipio de San Isidro, parte del departamento de Matagalpa, el cual ha sido su lugar de residencia mientras ha vivido en libertad en Nicaragua. En los años 80’s se exilió en Honduras por la persecución del gobierno sandinista contra sus retractores en medio del conflicto armado no internacional de esa década. En esa misma década se unió a los </w:t>
      </w:r>
      <w:proofErr w:type="spellStart"/>
      <w:r>
        <w:rPr>
          <w:rFonts w:ascii="Times New Roman" w:eastAsia="Times New Roman" w:hAnsi="Times New Roman" w:cs="Times New Roman"/>
          <w:sz w:val="24"/>
          <w:szCs w:val="24"/>
        </w:rPr>
        <w:t>contrarevolucionarios</w:t>
      </w:r>
      <w:proofErr w:type="spellEnd"/>
      <w:r>
        <w:rPr>
          <w:rFonts w:ascii="Times New Roman" w:eastAsia="Times New Roman" w:hAnsi="Times New Roman" w:cs="Times New Roman"/>
          <w:sz w:val="24"/>
          <w:szCs w:val="24"/>
        </w:rPr>
        <w:t xml:space="preserve"> en las montañas de Nicaragua (su alias militar era “el gavilán”, pero fue detenido por el Ejército Popular Sandinista de Nicaragua aproximadamente en 1988, siendo liberado con una amnistía en 1990 cuando hubo la transición democrática en el país. </w:t>
      </w:r>
    </w:p>
    <w:p w14:paraId="230A179E" w14:textId="7C585A67" w:rsidR="004A3166" w:rsidRPr="0010788D"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ser liberado en 1990 ingresó unos meses a la Policía Nacional de Nicaragua. Más allá de esos sucesos, siempre se ha caracterizado por no tener problemas con nadie y por ser una persona liberal. Antes de ser detenido en 2014 no padecía de ninguna enfermedad. </w:t>
      </w:r>
    </w:p>
    <w:p w14:paraId="7C6CB377" w14:textId="2EA0C6ED"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4" w:name="_Toc183739907"/>
      <w:r w:rsidRPr="00244087">
        <w:rPr>
          <w:rFonts w:ascii="Times New Roman" w:eastAsia="Times New Roman" w:hAnsi="Times New Roman" w:cs="Times New Roman"/>
          <w:i/>
          <w:iCs/>
          <w:sz w:val="24"/>
          <w:szCs w:val="24"/>
        </w:rPr>
        <w:t xml:space="preserve">José Olivar Meza </w:t>
      </w:r>
      <w:proofErr w:type="spellStart"/>
      <w:r w:rsidRPr="00244087">
        <w:rPr>
          <w:rFonts w:ascii="Times New Roman" w:eastAsia="Times New Roman" w:hAnsi="Times New Roman" w:cs="Times New Roman"/>
          <w:i/>
          <w:iCs/>
          <w:sz w:val="24"/>
          <w:szCs w:val="24"/>
        </w:rPr>
        <w:t>Raudez</w:t>
      </w:r>
      <w:bookmarkEnd w:id="4"/>
      <w:proofErr w:type="spellEnd"/>
    </w:p>
    <w:p w14:paraId="086874E6" w14:textId="4E64D90C" w:rsidR="004A3166" w:rsidRPr="0010788D"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10 de octubre de 1966 en la comunidad de Santa Rosa – Lima, municipio de San Isidro, departamento de Matagalpa, donde creció junto a su familia. Ahí mismo formó su propia familia, cursó los estudios primarios y luego empezó a trabajar en la agricultura. Se caracteriza por ser una persona noble, servicial y alejada de problemas. Él y su familia siempre han sido de ideología conservadora-liberal y opositores al Frente Sandinista (partido gobernante en la actualidad), de modo que en el conflicto armado interno en Nicaragua de la década de 1980 él, su hermana y su mamá estuvieron detenidos por ser considerados contrarrevolucionarios. Antes de ser detenido en 2014 solo padecía de cálculo de riñones (lo cual no le continúo estando detenido).</w:t>
      </w:r>
    </w:p>
    <w:p w14:paraId="3F453710" w14:textId="598DB42D"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5" w:name="_Toc183739908"/>
      <w:r w:rsidRPr="00244087">
        <w:rPr>
          <w:rFonts w:ascii="Times New Roman" w:eastAsia="Times New Roman" w:hAnsi="Times New Roman" w:cs="Times New Roman"/>
          <w:i/>
          <w:iCs/>
          <w:sz w:val="24"/>
          <w:szCs w:val="24"/>
        </w:rPr>
        <w:t>Eddy Antonio Gutiérrez Delgadillo</w:t>
      </w:r>
      <w:bookmarkEnd w:id="5"/>
      <w:r w:rsidRPr="00244087">
        <w:rPr>
          <w:rFonts w:ascii="Times New Roman" w:eastAsia="Times New Roman" w:hAnsi="Times New Roman" w:cs="Times New Roman"/>
          <w:i/>
          <w:iCs/>
          <w:sz w:val="24"/>
          <w:szCs w:val="24"/>
        </w:rPr>
        <w:t xml:space="preserve">  </w:t>
      </w:r>
    </w:p>
    <w:p w14:paraId="00734792" w14:textId="78A390BF" w:rsidR="004A3166" w:rsidRPr="008E1830"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23 de mayo de 1980 en Ciudad Darío, donde también creció junto a su familia, estudió hasta bachillerarse, formó su propia familia y trabajaba como albañil. El señor Eddy Gutiérrez se caracteriza por ser una persona alegre, muy dado a contribuir en obras de la iglesia católica y por levantar la voz por los derechos de las personas desde dónde se encuentre. Él y su familia toda su vida han sido liberales, e incluso uno de sus hermanos fue concejal del Partido Liberal Independiente (PLI) en Ciudad Darío previo a 2012; además, el señor Eddy participó en las protestas contra el fraude de las elecciones municipales en su ciudad en 2012</w:t>
      </w:r>
      <w:r>
        <w:rPr>
          <w:rStyle w:val="Refdenotaalpie"/>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ello tomando en </w:t>
      </w:r>
      <w:r>
        <w:rPr>
          <w:rFonts w:ascii="Times New Roman" w:eastAsia="Times New Roman" w:hAnsi="Times New Roman" w:cs="Times New Roman"/>
          <w:sz w:val="24"/>
          <w:szCs w:val="24"/>
        </w:rPr>
        <w:lastRenderedPageBreak/>
        <w:t>cuenta que dicha ciudad siempre ha sido considerada un bastión del liberalismo en el país</w:t>
      </w:r>
      <w:r>
        <w:rPr>
          <w:rStyle w:val="Refdenotaalpi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Meses antes de ser detenido en 2014 empezó a padecer de hipertensión. </w:t>
      </w:r>
    </w:p>
    <w:p w14:paraId="091D0B0B" w14:textId="3413437F"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6" w:name="_Toc183739909"/>
      <w:r w:rsidRPr="00244087">
        <w:rPr>
          <w:rFonts w:ascii="Times New Roman" w:eastAsia="Times New Roman" w:hAnsi="Times New Roman" w:cs="Times New Roman"/>
          <w:i/>
          <w:iCs/>
          <w:sz w:val="24"/>
          <w:szCs w:val="24"/>
        </w:rPr>
        <w:t>Zacarias Cano Angulo</w:t>
      </w:r>
      <w:bookmarkEnd w:id="6"/>
    </w:p>
    <w:p w14:paraId="5C9DA0F7" w14:textId="248CFAC8" w:rsidR="004A3166" w:rsidRPr="008E1830" w:rsidRDefault="004A3166" w:rsidP="00145ECF">
      <w:pPr>
        <w:spacing w:after="120" w:line="240" w:lineRule="auto"/>
        <w:jc w:val="both"/>
        <w:rPr>
          <w:rFonts w:ascii="Times New Roman" w:eastAsia="Times New Roman" w:hAnsi="Times New Roman" w:cs="Times New Roman"/>
          <w:sz w:val="24"/>
          <w:szCs w:val="24"/>
        </w:rPr>
      </w:pPr>
      <w:bookmarkStart w:id="7" w:name="_Hlk179467967"/>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31 de mayo de 1973 en el municipio de Muy Muy en Matagalpa, donde vivió sus primeros siete años junto a su padre y madre hasta que se mudaron a la Comunidad de Sabana Grande ubicada en el municipio de San Ramón en Matagalpa, donde formó su propia familia. Por circunstancias personales y falta de acceso, el señor Zacarias solo logró estudiar la primaria y luego empezó a dedicarse a la agricultura junto a su familia. Es caracterizado por ser una persona liberal, trabajadora, muy querida en su comunidad y por no tener problemas con nadie. Por su ardua labor en el campo, desde antes de ser detenido padecía de problemas de la columna</w:t>
      </w:r>
      <w:bookmarkEnd w:id="7"/>
      <w:r>
        <w:rPr>
          <w:rFonts w:ascii="Times New Roman" w:eastAsia="Times New Roman" w:hAnsi="Times New Roman" w:cs="Times New Roman"/>
          <w:sz w:val="24"/>
          <w:szCs w:val="24"/>
        </w:rPr>
        <w:t>.</w:t>
      </w:r>
    </w:p>
    <w:p w14:paraId="5E09CC81" w14:textId="28B7F40A"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8" w:name="_Toc183739910"/>
      <w:r w:rsidRPr="00244087">
        <w:rPr>
          <w:rFonts w:ascii="Times New Roman" w:eastAsia="Times New Roman" w:hAnsi="Times New Roman" w:cs="Times New Roman"/>
          <w:i/>
          <w:iCs/>
          <w:sz w:val="24"/>
          <w:szCs w:val="24"/>
        </w:rPr>
        <w:t>Rosendo Antonio Huerta González</w:t>
      </w:r>
      <w:bookmarkEnd w:id="8"/>
      <w:r w:rsidRPr="00244087">
        <w:rPr>
          <w:rFonts w:ascii="Times New Roman" w:eastAsia="Times New Roman" w:hAnsi="Times New Roman" w:cs="Times New Roman"/>
          <w:i/>
          <w:iCs/>
          <w:sz w:val="24"/>
          <w:szCs w:val="24"/>
        </w:rPr>
        <w:t xml:space="preserve"> </w:t>
      </w:r>
    </w:p>
    <w:p w14:paraId="06749977" w14:textId="5165088E" w:rsidR="004A3166" w:rsidRPr="004A3166"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8 de enero de 1972 en el seno de una familia indígena en la Comarca de Sabana Grande ubicada en el municipio de San Ramón, departamento de Matagalpa, donde formó su propia familia. Por las dificultades económicas y de acceso a la educación, solo pudo estudiar la primaria, por lo que se dedicó a trabajar en agricultura mediante la siembra de maíz y frijoles, y a veces siendo albañil, pues siempre ha sido una persona trabajadora. El señor Rosendo Huerta es un líder político liberal en su comunidad, por lo que incluso antes de ser detenido en 2014 sufrió amenazas de ser golpeado cuando protestó por los fraudes de las elecciones municipales de 2012</w:t>
      </w:r>
      <w:r>
        <w:rPr>
          <w:rStyle w:val="Refdenotaalpi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Desde antes de ser detenido sufría de gastritis crónica. </w:t>
      </w:r>
    </w:p>
    <w:p w14:paraId="4BAB5205" w14:textId="03895213"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9" w:name="_Toc183739911"/>
      <w:r w:rsidRPr="00244087">
        <w:rPr>
          <w:rFonts w:ascii="Times New Roman" w:eastAsia="Times New Roman" w:hAnsi="Times New Roman" w:cs="Times New Roman"/>
          <w:i/>
          <w:iCs/>
          <w:sz w:val="24"/>
          <w:szCs w:val="24"/>
        </w:rPr>
        <w:t>Leonel Antonio Poveda Palacios</w:t>
      </w:r>
      <w:bookmarkEnd w:id="9"/>
      <w:r w:rsidRPr="00244087">
        <w:rPr>
          <w:rFonts w:ascii="Times New Roman" w:eastAsia="Times New Roman" w:hAnsi="Times New Roman" w:cs="Times New Roman"/>
          <w:i/>
          <w:iCs/>
          <w:sz w:val="24"/>
          <w:szCs w:val="24"/>
        </w:rPr>
        <w:t xml:space="preserve"> </w:t>
      </w:r>
    </w:p>
    <w:p w14:paraId="06E29552" w14:textId="073C734E" w:rsidR="004A3166" w:rsidRDefault="004A3166" w:rsidP="00145ECF">
      <w:pPr>
        <w:spacing w:after="120" w:line="240" w:lineRule="auto"/>
        <w:jc w:val="both"/>
        <w:rPr>
          <w:rFonts w:ascii="Times New Roman" w:eastAsia="Times New Roman" w:hAnsi="Times New Roman" w:cs="Times New Roman"/>
          <w:sz w:val="24"/>
          <w:szCs w:val="24"/>
        </w:rPr>
      </w:pPr>
      <w:bookmarkStart w:id="10" w:name="_Hlk179468375"/>
      <w:r>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ació el 18 de diciembre de 1966 en Carazo. En este departamento creció con su familia y luego migró hacía Ciudad Darío, departamento de Matagalpa, donde formó su propia familia y empezó a dedicarse al comercio. Por motivos personales y distintos obstáculos en su vida, logró estudiar hasta el octavo grado. Se caracteriza por ser muy familiar, por ser un padre y esposo muy responsable en el hogar y por ser muy trabajador. Antes de ser detenido no padecía de ninguna patología crónica. </w:t>
      </w:r>
    </w:p>
    <w:p w14:paraId="01B55E7E" w14:textId="6D663A06" w:rsidR="004A3166" w:rsidRPr="008E1830"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caracterizado por siempre de ideología liberal, siendo simpatizante del Partido Liberal Independiente (PLI) cuando fue capturado. Era considerado un líder comunitario liberal en ciudad Darío y participó alzando su voz en las elecciones municipales fraudulentas de 2012, donde el Frente Sandinista se adjudicó la alcaldía de su municipio (un bastión liberal) producto al fraude</w:t>
      </w:r>
      <w:r>
        <w:rPr>
          <w:rStyle w:val="Refdenotaalpi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Además, fue parte de la contrarrevolución sandinista en los años 80’s</w:t>
      </w:r>
      <w:r>
        <w:rPr>
          <w:rStyle w:val="Refdenotaalpie"/>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w:t>
      </w:r>
      <w:bookmarkEnd w:id="10"/>
    </w:p>
    <w:p w14:paraId="07886043" w14:textId="30EE7B14"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11" w:name="_Toc183739912"/>
      <w:r w:rsidRPr="00244087">
        <w:rPr>
          <w:rFonts w:ascii="Times New Roman" w:eastAsia="Times New Roman" w:hAnsi="Times New Roman" w:cs="Times New Roman"/>
          <w:i/>
          <w:iCs/>
          <w:sz w:val="24"/>
          <w:szCs w:val="24"/>
        </w:rPr>
        <w:t>Wilfredo Balmaceda Castrillo</w:t>
      </w:r>
      <w:bookmarkEnd w:id="11"/>
      <w:r w:rsidRPr="00244087">
        <w:rPr>
          <w:rFonts w:ascii="Times New Roman" w:eastAsia="Times New Roman" w:hAnsi="Times New Roman" w:cs="Times New Roman"/>
          <w:i/>
          <w:iCs/>
          <w:sz w:val="24"/>
          <w:szCs w:val="24"/>
        </w:rPr>
        <w:t xml:space="preserve"> </w:t>
      </w:r>
    </w:p>
    <w:p w14:paraId="0B08B142" w14:textId="02594B55" w:rsidR="004A3166" w:rsidRPr="008E1830" w:rsidRDefault="004A3166" w:rsidP="00145EC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Nació</w:t>
      </w:r>
      <w:r>
        <w:rPr>
          <w:rFonts w:ascii="Times New Roman" w:eastAsia="Times New Roman" w:hAnsi="Times New Roman" w:cs="Times New Roman"/>
          <w:sz w:val="24"/>
          <w:szCs w:val="24"/>
        </w:rPr>
        <w:t xml:space="preserve"> el 30 de octubre de 1960 en Ciudad Darío, donde creció junto a su familia y luego formó su propia familia. Logró titularse como ingeniero civil y se dedicaba en su ciudad natal al comercio; y, además, era activo en la política, ya que había sido concejal del Partido Liberal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Independiente (PLI) y también del Partido Liberal Constitucionalista (PLC) en su ciudad. Se caracteriza por ser una persona siempre dispuesta a ayudar a los demás, por ser muy querido en su comunidad, por </w:t>
      </w:r>
      <w:r>
        <w:rPr>
          <w:rFonts w:ascii="Times New Roman" w:eastAsia="Times New Roman" w:hAnsi="Times New Roman" w:cs="Times New Roman"/>
          <w:sz w:val="24"/>
          <w:szCs w:val="24"/>
        </w:rPr>
        <w:lastRenderedPageBreak/>
        <w:t xml:space="preserve">ser un buen padre y pareja, y por ser muy trabajador desde muy joven. Antes de ser detenido en 2014 no padecía de ninguna patología. </w:t>
      </w:r>
    </w:p>
    <w:p w14:paraId="6F685161" w14:textId="4F9B8BF3" w:rsidR="004A3166" w:rsidRPr="004A3166" w:rsidRDefault="004A3166" w:rsidP="00145ECF">
      <w:pPr>
        <w:pStyle w:val="Prrafodelista"/>
        <w:numPr>
          <w:ilvl w:val="1"/>
          <w:numId w:val="11"/>
        </w:numPr>
        <w:spacing w:after="120" w:line="240" w:lineRule="auto"/>
        <w:jc w:val="both"/>
        <w:rPr>
          <w:rFonts w:ascii="Times New Roman" w:eastAsia="Times New Roman" w:hAnsi="Times New Roman" w:cs="Times New Roman"/>
          <w:i/>
          <w:iCs/>
          <w:sz w:val="24"/>
          <w:szCs w:val="24"/>
        </w:rPr>
      </w:pPr>
      <w:bookmarkStart w:id="12" w:name="_Toc183739913"/>
      <w:r w:rsidRPr="00244087">
        <w:rPr>
          <w:rFonts w:ascii="Times New Roman" w:eastAsia="Times New Roman" w:hAnsi="Times New Roman" w:cs="Times New Roman"/>
          <w:i/>
          <w:iCs/>
          <w:sz w:val="24"/>
          <w:szCs w:val="24"/>
        </w:rPr>
        <w:t>Jairo Alberto Obando Palacios</w:t>
      </w:r>
      <w:bookmarkEnd w:id="12"/>
      <w:r w:rsidRPr="00244087">
        <w:rPr>
          <w:rFonts w:ascii="Times New Roman" w:eastAsia="Times New Roman" w:hAnsi="Times New Roman" w:cs="Times New Roman"/>
          <w:i/>
          <w:iCs/>
          <w:sz w:val="24"/>
          <w:szCs w:val="24"/>
        </w:rPr>
        <w:t xml:space="preserve"> </w:t>
      </w:r>
    </w:p>
    <w:p w14:paraId="0644247C" w14:textId="3FBDF137" w:rsidR="004A3166" w:rsidRPr="004A3166" w:rsidRDefault="004A3166" w:rsidP="00145ECF">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ació el 18 de julio de 1984 en Ciudad Darío, municipio de Matagalpa, donde creció junto a su familia y estudió hasta primaria. En su ciudad natal trabajo desde joven como albañil y formó su propia familia, incluyendo tres hijos que eran menores de 10 años al ser detenido en 2014 y con quienes se perdió sus momentos importantes (ej. graduaciones). Es una persona muy dada a la iglesia y a ser servicial; él cuidaba de su papá y mamá hasta antes de ser detenidos; y nunca se involucró en problemas con nadie. Siempre ha sido liberal y defensor de la democracia; incluso participó en las protestas contra el fraude de las elecciones municipales en Ciudad Darío en 2012</w:t>
      </w:r>
      <w:r>
        <w:rPr>
          <w:rStyle w:val="Refdenotaalpie"/>
          <w:rFonts w:ascii="Times New Roman" w:eastAsia="Times New Roman" w:hAnsi="Times New Roman" w:cs="Times New Roman"/>
          <w:sz w:val="24"/>
          <w:szCs w:val="24"/>
        </w:rPr>
        <w:footnoteReference w:id="6"/>
      </w:r>
      <w:r>
        <w:rPr>
          <w:rFonts w:ascii="Times New Roman" w:eastAsia="Times New Roman" w:hAnsi="Times New Roman" w:cs="Times New Roman"/>
          <w:sz w:val="24"/>
          <w:szCs w:val="24"/>
        </w:rPr>
        <w:t xml:space="preserve">. Antes de ser capturado en 2014 no padecía de ninguna enfermedad. </w:t>
      </w:r>
    </w:p>
    <w:p w14:paraId="593865AB" w14:textId="79213F0E" w:rsidR="00D55D36" w:rsidRDefault="005B5684" w:rsidP="00145ECF">
      <w:pPr>
        <w:pStyle w:val="Ttulo1"/>
        <w:numPr>
          <w:ilvl w:val="0"/>
          <w:numId w:val="12"/>
        </w:numPr>
        <w:spacing w:before="0" w:after="120" w:line="240" w:lineRule="auto"/>
        <w:jc w:val="both"/>
        <w:rPr>
          <w:rFonts w:ascii="Times New Roman" w:eastAsia="Times New Roman" w:hAnsi="Times New Roman" w:cs="Times New Roman"/>
          <w:b/>
          <w:color w:val="000000"/>
          <w:sz w:val="24"/>
          <w:szCs w:val="24"/>
        </w:rPr>
      </w:pPr>
      <w:bookmarkStart w:id="13" w:name="_heading=h.tyjcwt" w:colFirst="0" w:colLast="0"/>
      <w:bookmarkStart w:id="14" w:name="_heading=h.3dy6vkm" w:colFirst="0" w:colLast="0"/>
      <w:bookmarkStart w:id="15" w:name="_Toc203004168"/>
      <w:bookmarkEnd w:id="13"/>
      <w:bookmarkEnd w:id="14"/>
      <w:r w:rsidRPr="00C62956">
        <w:rPr>
          <w:rFonts w:ascii="Times New Roman" w:hAnsi="Times New Roman"/>
          <w:b/>
          <w:color w:val="000000"/>
          <w:sz w:val="24"/>
        </w:rPr>
        <w:t xml:space="preserve">Contexto de la situación de </w:t>
      </w:r>
      <w:r w:rsidR="00F50CC7">
        <w:rPr>
          <w:rFonts w:ascii="Times New Roman" w:hAnsi="Times New Roman"/>
          <w:b/>
          <w:color w:val="000000"/>
          <w:sz w:val="24"/>
        </w:rPr>
        <w:t>la criminalización arbitraria de las víctimas</w:t>
      </w:r>
      <w:bookmarkEnd w:id="15"/>
    </w:p>
    <w:p w14:paraId="63A13D8A" w14:textId="58D8A671"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cs="Times New Roman"/>
          <w:sz w:val="24"/>
        </w:rPr>
        <w:t xml:space="preserve">El 19 de julio de 2014 </w:t>
      </w:r>
      <w:r w:rsidR="00AC5F79">
        <w:rPr>
          <w:rFonts w:ascii="Times New Roman" w:hAnsi="Times New Roman" w:cs="Times New Roman"/>
          <w:sz w:val="24"/>
        </w:rPr>
        <w:t xml:space="preserve">se celebró el 35 aniversario de revolución sandinista, como cada año </w:t>
      </w:r>
      <w:r w:rsidRPr="00C62956">
        <w:rPr>
          <w:rFonts w:ascii="Times New Roman" w:hAnsi="Times New Roman" w:cs="Times New Roman"/>
          <w:sz w:val="24"/>
        </w:rPr>
        <w:t>miles de personas de tod</w:t>
      </w:r>
      <w:r w:rsidR="00AC5F79">
        <w:rPr>
          <w:rFonts w:ascii="Times New Roman" w:hAnsi="Times New Roman" w:cs="Times New Roman"/>
          <w:sz w:val="24"/>
        </w:rPr>
        <w:t xml:space="preserve">o el país </w:t>
      </w:r>
      <w:r w:rsidRPr="00C62956">
        <w:rPr>
          <w:rFonts w:ascii="Times New Roman" w:hAnsi="Times New Roman" w:cs="Times New Roman"/>
          <w:sz w:val="24"/>
        </w:rPr>
        <w:t>se aglomeraron en Managua</w:t>
      </w:r>
      <w:r w:rsidRPr="00C62956">
        <w:rPr>
          <w:rFonts w:ascii="Times New Roman" w:eastAsia="Times New Roman" w:hAnsi="Times New Roman" w:cs="Times New Roman"/>
          <w:sz w:val="24"/>
          <w:szCs w:val="24"/>
          <w:vertAlign w:val="superscript"/>
        </w:rPr>
        <w:footnoteReference w:id="7"/>
      </w:r>
      <w:r w:rsidRPr="00C62956">
        <w:rPr>
          <w:rFonts w:ascii="Times New Roman" w:hAnsi="Times New Roman" w:cs="Times New Roman"/>
        </w:rPr>
        <w:t xml:space="preserve">. </w:t>
      </w:r>
      <w:r w:rsidRPr="00AC5F79">
        <w:rPr>
          <w:rFonts w:ascii="Times New Roman" w:hAnsi="Times New Roman" w:cs="Times New Roman"/>
          <w:sz w:val="24"/>
          <w:szCs w:val="24"/>
        </w:rPr>
        <w:t>Al terminar el acto en horas de la noche</w:t>
      </w:r>
      <w:r w:rsidR="00AC5F79">
        <w:rPr>
          <w:rFonts w:ascii="Times New Roman" w:hAnsi="Times New Roman" w:cs="Times New Roman"/>
          <w:sz w:val="24"/>
          <w:szCs w:val="24"/>
        </w:rPr>
        <w:t>,</w:t>
      </w:r>
      <w:r w:rsidR="00AC5F79" w:rsidRPr="00AC5F79">
        <w:rPr>
          <w:rFonts w:ascii="Times New Roman" w:hAnsi="Times New Roman" w:cs="Times New Roman"/>
          <w:sz w:val="24"/>
          <w:szCs w:val="24"/>
        </w:rPr>
        <w:t xml:space="preserve"> caravanas de simpatizantes </w:t>
      </w:r>
      <w:r w:rsidRPr="00AC5F79">
        <w:rPr>
          <w:rFonts w:ascii="Times New Roman" w:hAnsi="Times New Roman" w:cs="Times New Roman"/>
          <w:sz w:val="24"/>
          <w:szCs w:val="24"/>
        </w:rPr>
        <w:t xml:space="preserve">procedieron a regresar hacia sus municipios </w:t>
      </w:r>
      <w:r w:rsidR="00AC5F79">
        <w:rPr>
          <w:rFonts w:ascii="Times New Roman" w:hAnsi="Times New Roman" w:cs="Times New Roman"/>
          <w:sz w:val="24"/>
          <w:szCs w:val="24"/>
        </w:rPr>
        <w:t xml:space="preserve">en </w:t>
      </w:r>
      <w:r w:rsidRPr="00AC5F79">
        <w:rPr>
          <w:rFonts w:ascii="Times New Roman" w:hAnsi="Times New Roman" w:cs="Times New Roman"/>
          <w:sz w:val="24"/>
          <w:szCs w:val="24"/>
        </w:rPr>
        <w:t>el interior del país;</w:t>
      </w:r>
      <w:r w:rsidR="00AC5F79">
        <w:rPr>
          <w:rFonts w:ascii="Times New Roman" w:hAnsi="Times New Roman" w:cs="Times New Roman"/>
          <w:sz w:val="24"/>
          <w:szCs w:val="24"/>
        </w:rPr>
        <w:t xml:space="preserve"> </w:t>
      </w:r>
      <w:r w:rsidRPr="00AC5F79">
        <w:rPr>
          <w:rFonts w:ascii="Times New Roman" w:hAnsi="Times New Roman" w:cs="Times New Roman"/>
          <w:sz w:val="24"/>
          <w:szCs w:val="24"/>
        </w:rPr>
        <w:t>dos de estas caravanas fueron atacadas en distintos puntos del departamento de Matagalpa, uno cerca de Ciudad Darío y otro en la localidad de San Ramón</w:t>
      </w:r>
      <w:r w:rsidRPr="00AC5F79">
        <w:rPr>
          <w:rFonts w:ascii="Times New Roman" w:eastAsia="Times New Roman" w:hAnsi="Times New Roman" w:cs="Times New Roman"/>
          <w:sz w:val="24"/>
          <w:szCs w:val="24"/>
          <w:vertAlign w:val="superscript"/>
        </w:rPr>
        <w:footnoteReference w:id="8"/>
      </w:r>
      <w:r w:rsidRPr="00AC5F79">
        <w:rPr>
          <w:rFonts w:ascii="Times New Roman" w:hAnsi="Times New Roman" w:cs="Times New Roman"/>
          <w:sz w:val="24"/>
          <w:szCs w:val="24"/>
        </w:rPr>
        <w:t>.</w:t>
      </w:r>
      <w:r w:rsidRPr="00AC5F79">
        <w:rPr>
          <w:rFonts w:ascii="Times New Roman" w:hAnsi="Times New Roman"/>
          <w:sz w:val="24"/>
          <w:szCs w:val="24"/>
        </w:rPr>
        <w:t xml:space="preserve"> De ese ataque (conocido como “la masacre del 19 de julio”) resultaron cinco</w:t>
      </w:r>
      <w:r w:rsidRPr="00C62956">
        <w:rPr>
          <w:rFonts w:ascii="Times New Roman" w:hAnsi="Times New Roman"/>
          <w:sz w:val="24"/>
        </w:rPr>
        <w:t xml:space="preserve"> muertos y 24 heridos</w:t>
      </w:r>
      <w:r>
        <w:rPr>
          <w:rFonts w:ascii="Times New Roman" w:eastAsia="Times New Roman" w:hAnsi="Times New Roman" w:cs="Times New Roman"/>
          <w:sz w:val="24"/>
          <w:szCs w:val="24"/>
          <w:vertAlign w:val="superscript"/>
        </w:rPr>
        <w:footnoteReference w:id="9"/>
      </w:r>
      <w:r w:rsidRPr="00C62956">
        <w:rPr>
          <w:rFonts w:ascii="Times New Roman" w:hAnsi="Times New Roman"/>
          <w:sz w:val="24"/>
        </w:rPr>
        <w:t>.  Un presunto grupo armado autodenominado Fuerzas Armadas de Salvación Nacional-Ejército del Pueblo (FASN-EP) se adjudicó el ataque</w:t>
      </w:r>
      <w:r>
        <w:rPr>
          <w:rFonts w:ascii="Times New Roman" w:eastAsia="Times New Roman" w:hAnsi="Times New Roman" w:cs="Times New Roman"/>
          <w:sz w:val="24"/>
          <w:szCs w:val="24"/>
          <w:vertAlign w:val="superscript"/>
        </w:rPr>
        <w:footnoteReference w:id="10"/>
      </w:r>
      <w:r w:rsidRPr="00C62956">
        <w:rPr>
          <w:rFonts w:ascii="Times New Roman" w:hAnsi="Times New Roman"/>
          <w:sz w:val="24"/>
        </w:rPr>
        <w:t>, pero ninguno de sus posibles integrantes fue identificado y responsabilizado.</w:t>
      </w:r>
      <w:r>
        <w:rPr>
          <w:rFonts w:ascii="Times New Roman" w:eastAsia="Times New Roman" w:hAnsi="Times New Roman" w:cs="Times New Roman"/>
          <w:sz w:val="24"/>
          <w:szCs w:val="24"/>
        </w:rPr>
        <w:t xml:space="preserve"> </w:t>
      </w:r>
    </w:p>
    <w:p w14:paraId="3BC2D0F7" w14:textId="3E506B5D"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Tras el ataque, entre julio y agosto de 2014 la policía </w:t>
      </w:r>
      <w:r w:rsidR="00CC157F">
        <w:rPr>
          <w:rFonts w:ascii="Times New Roman" w:hAnsi="Times New Roman"/>
          <w:sz w:val="24"/>
        </w:rPr>
        <w:t xml:space="preserve">realizó </w:t>
      </w:r>
      <w:r w:rsidRPr="00C62956">
        <w:rPr>
          <w:rFonts w:ascii="Times New Roman" w:hAnsi="Times New Roman"/>
          <w:sz w:val="24"/>
        </w:rPr>
        <w:t>detenciones en comunidades históricamente identificadas como opositoras cercanas a los lugares de los hechos, resultando hasta 19 personas detenidas inicialmente</w:t>
      </w:r>
      <w:r>
        <w:rPr>
          <w:rFonts w:ascii="Times New Roman" w:eastAsia="Times New Roman" w:hAnsi="Times New Roman" w:cs="Times New Roman"/>
          <w:sz w:val="24"/>
          <w:szCs w:val="24"/>
          <w:vertAlign w:val="superscript"/>
        </w:rPr>
        <w:footnoteReference w:id="11"/>
      </w:r>
      <w:r w:rsidRPr="00C62956">
        <w:rPr>
          <w:rFonts w:ascii="Times New Roman" w:hAnsi="Times New Roman"/>
          <w:sz w:val="24"/>
        </w:rPr>
        <w:t xml:space="preserve">, sin orden de captura y sin indicarle los cargos por los que estaban siendo detenidos. Todos fueron sometidos a desapariciones forzada de corta duración tras su captura, </w:t>
      </w:r>
      <w:r w:rsidR="006A575B">
        <w:rPr>
          <w:rFonts w:ascii="Times New Roman" w:hAnsi="Times New Roman"/>
          <w:sz w:val="24"/>
        </w:rPr>
        <w:t>y</w:t>
      </w:r>
      <w:r w:rsidRPr="00C62956">
        <w:rPr>
          <w:rFonts w:ascii="Times New Roman" w:hAnsi="Times New Roman"/>
          <w:sz w:val="24"/>
        </w:rPr>
        <w:t xml:space="preserve"> fueron brutalmente torturados para obligarlos a confesar hechos que no habían cometido</w:t>
      </w:r>
      <w:r>
        <w:rPr>
          <w:rFonts w:ascii="Times New Roman" w:eastAsia="Times New Roman" w:hAnsi="Times New Roman" w:cs="Times New Roman"/>
          <w:sz w:val="24"/>
          <w:szCs w:val="24"/>
          <w:vertAlign w:val="superscript"/>
        </w:rPr>
        <w:footnoteReference w:id="12"/>
      </w:r>
      <w:r w:rsidRPr="00C62956">
        <w:rPr>
          <w:rFonts w:ascii="Times New Roman" w:hAnsi="Times New Roman"/>
          <w:sz w:val="24"/>
        </w:rPr>
        <w:t xml:space="preserve">, </w:t>
      </w:r>
      <w:r w:rsidR="00B3187B">
        <w:rPr>
          <w:rFonts w:ascii="Times New Roman" w:hAnsi="Times New Roman"/>
          <w:sz w:val="24"/>
        </w:rPr>
        <w:t xml:space="preserve">pretendiendo </w:t>
      </w:r>
      <w:r w:rsidRPr="00C62956">
        <w:rPr>
          <w:rFonts w:ascii="Times New Roman" w:hAnsi="Times New Roman"/>
          <w:sz w:val="24"/>
        </w:rPr>
        <w:t xml:space="preserve">posicionar a la policía nacional como un cuerpo capaz de “resolver” un crimen de impacto nacional y político en </w:t>
      </w:r>
      <w:r w:rsidR="00B3187B">
        <w:rPr>
          <w:rFonts w:ascii="Times New Roman" w:hAnsi="Times New Roman"/>
          <w:sz w:val="24"/>
        </w:rPr>
        <w:t>corto tiempo</w:t>
      </w:r>
      <w:r w:rsidRPr="00C62956">
        <w:rPr>
          <w:rFonts w:ascii="Times New Roman" w:hAnsi="Times New Roman"/>
          <w:sz w:val="24"/>
        </w:rPr>
        <w:t xml:space="preserve">, </w:t>
      </w:r>
      <w:r w:rsidR="003A7E31">
        <w:rPr>
          <w:rFonts w:ascii="Times New Roman" w:hAnsi="Times New Roman"/>
          <w:sz w:val="24"/>
        </w:rPr>
        <w:t xml:space="preserve">sin </w:t>
      </w:r>
      <w:r w:rsidRPr="00C62956">
        <w:rPr>
          <w:rFonts w:ascii="Times New Roman" w:hAnsi="Times New Roman"/>
          <w:sz w:val="24"/>
        </w:rPr>
        <w:t>esclarecer la verdad de lo sucedido</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t>
      </w:r>
    </w:p>
    <w:p w14:paraId="3BD77AE8" w14:textId="3CE0E3BE"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En ese año, 2014, </w:t>
      </w:r>
      <w:r w:rsidR="003A7E31">
        <w:rPr>
          <w:rFonts w:ascii="Times New Roman" w:hAnsi="Times New Roman"/>
          <w:sz w:val="24"/>
        </w:rPr>
        <w:t>el</w:t>
      </w:r>
      <w:r w:rsidRPr="00C62956">
        <w:rPr>
          <w:rFonts w:ascii="Times New Roman" w:hAnsi="Times New Roman"/>
          <w:sz w:val="24"/>
        </w:rPr>
        <w:t xml:space="preserve"> consenso internacional </w:t>
      </w:r>
      <w:r w:rsidR="003A7E31">
        <w:rPr>
          <w:rFonts w:ascii="Times New Roman" w:hAnsi="Times New Roman"/>
          <w:sz w:val="24"/>
        </w:rPr>
        <w:t xml:space="preserve">aun no consideraba </w:t>
      </w:r>
      <w:r w:rsidRPr="00C62956">
        <w:rPr>
          <w:rFonts w:ascii="Times New Roman" w:hAnsi="Times New Roman"/>
          <w:sz w:val="24"/>
        </w:rPr>
        <w:t xml:space="preserve">al gobierno de Daniel Ortega como autoritario (como sí sucede desde 2018 a la actualidad). En ese contexto, la policía de Nicaragua intentaba elevar su imagen </w:t>
      </w:r>
      <w:r w:rsidR="003A7E31">
        <w:rPr>
          <w:rFonts w:ascii="Times New Roman" w:hAnsi="Times New Roman"/>
          <w:sz w:val="24"/>
        </w:rPr>
        <w:t>de que</w:t>
      </w:r>
      <w:r w:rsidRPr="00C62956">
        <w:rPr>
          <w:rFonts w:ascii="Times New Roman" w:hAnsi="Times New Roman"/>
          <w:sz w:val="24"/>
        </w:rPr>
        <w:t xml:space="preserve"> </w:t>
      </w:r>
      <w:r w:rsidR="00746AD1">
        <w:rPr>
          <w:rFonts w:ascii="Times New Roman" w:hAnsi="Times New Roman"/>
          <w:sz w:val="24"/>
        </w:rPr>
        <w:t>este</w:t>
      </w:r>
      <w:r w:rsidRPr="00C62956">
        <w:rPr>
          <w:rFonts w:ascii="Times New Roman" w:hAnsi="Times New Roman"/>
          <w:sz w:val="24"/>
        </w:rPr>
        <w:t xml:space="preserve"> </w:t>
      </w:r>
      <w:r w:rsidR="003A7E31">
        <w:rPr>
          <w:rFonts w:ascii="Times New Roman" w:hAnsi="Times New Roman"/>
          <w:sz w:val="24"/>
        </w:rPr>
        <w:t>era</w:t>
      </w:r>
      <w:r w:rsidRPr="00C62956">
        <w:rPr>
          <w:rFonts w:ascii="Times New Roman" w:hAnsi="Times New Roman"/>
          <w:sz w:val="24"/>
        </w:rPr>
        <w:t xml:space="preserve"> el país más seguro de Latinoamérica</w:t>
      </w:r>
      <w:r>
        <w:rPr>
          <w:rFonts w:ascii="Times New Roman" w:eastAsia="Times New Roman" w:hAnsi="Times New Roman" w:cs="Times New Roman"/>
          <w:sz w:val="24"/>
          <w:szCs w:val="24"/>
          <w:vertAlign w:val="superscript"/>
        </w:rPr>
        <w:footnoteReference w:id="14"/>
      </w:r>
      <w:r w:rsidRPr="00C62956">
        <w:rPr>
          <w:rFonts w:ascii="Times New Roman" w:hAnsi="Times New Roman"/>
          <w:sz w:val="24"/>
        </w:rPr>
        <w:t xml:space="preserve">, </w:t>
      </w:r>
      <w:r w:rsidR="00746AD1">
        <w:rPr>
          <w:rFonts w:ascii="Times New Roman" w:hAnsi="Times New Roman"/>
          <w:sz w:val="24"/>
        </w:rPr>
        <w:t>para</w:t>
      </w:r>
      <w:r w:rsidRPr="00C62956">
        <w:rPr>
          <w:rFonts w:ascii="Times New Roman" w:hAnsi="Times New Roman"/>
          <w:sz w:val="24"/>
        </w:rPr>
        <w:t xml:space="preserve"> lograr </w:t>
      </w:r>
      <w:r w:rsidRPr="00C62956">
        <w:rPr>
          <w:rFonts w:ascii="Times New Roman" w:hAnsi="Times New Roman"/>
          <w:sz w:val="24"/>
        </w:rPr>
        <w:lastRenderedPageBreak/>
        <w:t>mayor turismo e inversiones en el país</w:t>
      </w:r>
      <w:r>
        <w:rPr>
          <w:rFonts w:ascii="Times New Roman" w:eastAsia="Times New Roman" w:hAnsi="Times New Roman" w:cs="Times New Roman"/>
          <w:sz w:val="24"/>
          <w:szCs w:val="24"/>
          <w:vertAlign w:val="superscript"/>
        </w:rPr>
        <w:footnoteReference w:id="15"/>
      </w:r>
      <w:r w:rsidRPr="00C62956">
        <w:rPr>
          <w:rFonts w:ascii="Times New Roman" w:hAnsi="Times New Roman"/>
          <w:sz w:val="24"/>
        </w:rPr>
        <w:t xml:space="preserve">. </w:t>
      </w:r>
      <w:r w:rsidR="00746AD1">
        <w:rPr>
          <w:rFonts w:ascii="Times New Roman" w:hAnsi="Times New Roman"/>
          <w:sz w:val="24"/>
        </w:rPr>
        <w:t>E</w:t>
      </w:r>
      <w:r w:rsidRPr="00C62956">
        <w:rPr>
          <w:rFonts w:ascii="Times New Roman" w:hAnsi="Times New Roman"/>
          <w:sz w:val="24"/>
        </w:rPr>
        <w:t xml:space="preserve">l 3 de junio de 2014 el </w:t>
      </w:r>
      <w:r w:rsidR="003A7E31">
        <w:rPr>
          <w:rFonts w:ascii="Times New Roman" w:hAnsi="Times New Roman"/>
          <w:sz w:val="24"/>
        </w:rPr>
        <w:t xml:space="preserve">entonces </w:t>
      </w:r>
      <w:r w:rsidRPr="00C62956">
        <w:rPr>
          <w:rFonts w:ascii="Times New Roman" w:hAnsi="Times New Roman"/>
          <w:sz w:val="24"/>
        </w:rPr>
        <w:t xml:space="preserve">segundo </w:t>
      </w:r>
      <w:r w:rsidR="00740A90" w:rsidRPr="00C62956">
        <w:rPr>
          <w:rFonts w:ascii="Times New Roman" w:hAnsi="Times New Roman"/>
          <w:sz w:val="24"/>
        </w:rPr>
        <w:t>jefe</w:t>
      </w:r>
      <w:r w:rsidRPr="00C62956">
        <w:rPr>
          <w:rFonts w:ascii="Times New Roman" w:hAnsi="Times New Roman"/>
          <w:sz w:val="24"/>
        </w:rPr>
        <w:t xml:space="preserve"> de la Policía Nacional (</w:t>
      </w:r>
      <w:proofErr w:type="gramStart"/>
      <w:r w:rsidR="00746AD1">
        <w:rPr>
          <w:rFonts w:ascii="Times New Roman" w:hAnsi="Times New Roman"/>
          <w:sz w:val="24"/>
        </w:rPr>
        <w:t>Jefe</w:t>
      </w:r>
      <w:proofErr w:type="gramEnd"/>
      <w:r w:rsidR="00746AD1">
        <w:rPr>
          <w:rFonts w:ascii="Times New Roman" w:hAnsi="Times New Roman"/>
          <w:sz w:val="24"/>
        </w:rPr>
        <w:t xml:space="preserve"> </w:t>
      </w:r>
      <w:r w:rsidR="003A7E31">
        <w:rPr>
          <w:rFonts w:ascii="Times New Roman" w:hAnsi="Times New Roman"/>
          <w:sz w:val="24"/>
        </w:rPr>
        <w:t>Nacional</w:t>
      </w:r>
      <w:r w:rsidR="00746AD1">
        <w:rPr>
          <w:rFonts w:ascii="Times New Roman" w:hAnsi="Times New Roman"/>
          <w:sz w:val="24"/>
        </w:rPr>
        <w:t xml:space="preserve"> desde 2018</w:t>
      </w:r>
      <w:r>
        <w:rPr>
          <w:rFonts w:ascii="Times New Roman" w:eastAsia="Times New Roman" w:hAnsi="Times New Roman" w:cs="Times New Roman"/>
          <w:sz w:val="24"/>
          <w:szCs w:val="24"/>
          <w:vertAlign w:val="superscript"/>
        </w:rPr>
        <w:footnoteReference w:id="16"/>
      </w:r>
      <w:r w:rsidRPr="00C62956">
        <w:rPr>
          <w:rFonts w:ascii="Times New Roman" w:hAnsi="Times New Roman"/>
          <w:sz w:val="24"/>
        </w:rPr>
        <w:t>), Francisco Díaz (consuegro del presidente Daniel Ortega</w:t>
      </w:r>
      <w:r>
        <w:rPr>
          <w:rFonts w:ascii="Times New Roman" w:eastAsia="Times New Roman" w:hAnsi="Times New Roman" w:cs="Times New Roman"/>
          <w:sz w:val="24"/>
          <w:szCs w:val="24"/>
          <w:vertAlign w:val="superscript"/>
        </w:rPr>
        <w:footnoteReference w:id="17"/>
      </w:r>
      <w:r w:rsidRPr="00C62956">
        <w:rPr>
          <w:rFonts w:ascii="Times New Roman" w:hAnsi="Times New Roman"/>
          <w:sz w:val="24"/>
        </w:rPr>
        <w:t xml:space="preserve">), aseguró que “Nicaragua es el país más seguro de Centroamérica gracias al trabajo policial, la estrategia de </w:t>
      </w:r>
      <w:r w:rsidR="00BE14AA" w:rsidRPr="00C62956">
        <w:rPr>
          <w:rFonts w:ascii="Times New Roman" w:hAnsi="Times New Roman"/>
          <w:sz w:val="24"/>
        </w:rPr>
        <w:t>prevención y las políticas sociales</w:t>
      </w:r>
      <w:r w:rsidRPr="00C62956">
        <w:rPr>
          <w:rFonts w:ascii="Times New Roman" w:hAnsi="Times New Roman"/>
          <w:sz w:val="24"/>
        </w:rPr>
        <w:t xml:space="preserve"> que impulsa el Gobierno</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w:t>
      </w:r>
    </w:p>
    <w:p w14:paraId="5492F4B1" w14:textId="015AC7F1" w:rsidR="00D55D36" w:rsidRPr="00E43ACE" w:rsidRDefault="00746AD1" w:rsidP="00145ECF">
      <w:pPr>
        <w:spacing w:after="120" w:line="240" w:lineRule="auto"/>
        <w:jc w:val="both"/>
        <w:rPr>
          <w:rFonts w:ascii="Times New Roman" w:hAnsi="Times New Roman"/>
          <w:sz w:val="24"/>
        </w:rPr>
      </w:pPr>
      <w:r>
        <w:rPr>
          <w:rFonts w:ascii="Times New Roman" w:hAnsi="Times New Roman"/>
          <w:sz w:val="24"/>
        </w:rPr>
        <w:t>En ese</w:t>
      </w:r>
      <w:r w:rsidR="005B5684" w:rsidRPr="00C62956">
        <w:rPr>
          <w:rFonts w:ascii="Times New Roman" w:hAnsi="Times New Roman"/>
          <w:sz w:val="24"/>
        </w:rPr>
        <w:t xml:space="preserve"> tiempo distintos órganos internacionales de derechos humanos venían constatando </w:t>
      </w:r>
      <w:r>
        <w:rPr>
          <w:rFonts w:ascii="Times New Roman" w:hAnsi="Times New Roman"/>
          <w:sz w:val="24"/>
        </w:rPr>
        <w:t>l</w:t>
      </w:r>
      <w:r w:rsidR="005B5684" w:rsidRPr="00C62956">
        <w:rPr>
          <w:rFonts w:ascii="Times New Roman" w:hAnsi="Times New Roman"/>
          <w:sz w:val="24"/>
        </w:rPr>
        <w:t xml:space="preserve">a erosión del Estado de Derecho en Nicaragua, </w:t>
      </w:r>
      <w:r w:rsidR="005B5684" w:rsidRPr="00C62956">
        <w:rPr>
          <w:rFonts w:ascii="Times New Roman" w:hAnsi="Times New Roman"/>
          <w:i/>
          <w:sz w:val="24"/>
        </w:rPr>
        <w:t xml:space="preserve">inter </w:t>
      </w:r>
      <w:proofErr w:type="spellStart"/>
      <w:r w:rsidR="005B5684" w:rsidRPr="00C62956">
        <w:rPr>
          <w:rFonts w:ascii="Times New Roman" w:hAnsi="Times New Roman"/>
          <w:i/>
          <w:sz w:val="24"/>
        </w:rPr>
        <w:t>alia</w:t>
      </w:r>
      <w:proofErr w:type="spellEnd"/>
      <w:r w:rsidR="005B5684" w:rsidRPr="00C62956">
        <w:rPr>
          <w:rFonts w:ascii="Times New Roman" w:hAnsi="Times New Roman"/>
          <w:sz w:val="24"/>
        </w:rPr>
        <w:t xml:space="preserve">, la falta de independencia del Poder Judicial y del Ministerio Público, </w:t>
      </w:r>
      <w:r>
        <w:rPr>
          <w:rFonts w:ascii="Times New Roman" w:hAnsi="Times New Roman"/>
          <w:sz w:val="24"/>
        </w:rPr>
        <w:t>y la</w:t>
      </w:r>
      <w:r w:rsidR="005B5684" w:rsidRPr="00C62956">
        <w:rPr>
          <w:rFonts w:ascii="Times New Roman" w:hAnsi="Times New Roman"/>
          <w:sz w:val="24"/>
        </w:rPr>
        <w:t xml:space="preserve"> </w:t>
      </w:r>
      <w:r>
        <w:rPr>
          <w:rFonts w:ascii="Times New Roman" w:hAnsi="Times New Roman"/>
          <w:sz w:val="24"/>
        </w:rPr>
        <w:t>concentración</w:t>
      </w:r>
      <w:r w:rsidR="005B5684" w:rsidRPr="00C62956">
        <w:rPr>
          <w:rFonts w:ascii="Times New Roman" w:hAnsi="Times New Roman"/>
          <w:sz w:val="24"/>
        </w:rPr>
        <w:t xml:space="preserve"> </w:t>
      </w:r>
      <w:r>
        <w:rPr>
          <w:rFonts w:ascii="Times New Roman" w:hAnsi="Times New Roman"/>
          <w:sz w:val="24"/>
        </w:rPr>
        <w:t>de</w:t>
      </w:r>
      <w:r w:rsidR="005B5684" w:rsidRPr="00C62956">
        <w:rPr>
          <w:rFonts w:ascii="Times New Roman" w:hAnsi="Times New Roman"/>
          <w:sz w:val="24"/>
        </w:rPr>
        <w:t xml:space="preserve"> poder de </w:t>
      </w:r>
      <w:r w:rsidR="005B5684">
        <w:rPr>
          <w:rFonts w:ascii="Times New Roman" w:eastAsia="Times New Roman" w:hAnsi="Times New Roman" w:cs="Times New Roman"/>
          <w:sz w:val="24"/>
          <w:szCs w:val="24"/>
        </w:rPr>
        <w:t>forma</w:t>
      </w:r>
      <w:r w:rsidR="005B5684" w:rsidRPr="00C62956">
        <w:rPr>
          <w:rFonts w:ascii="Times New Roman" w:hAnsi="Times New Roman"/>
          <w:sz w:val="24"/>
        </w:rPr>
        <w:t xml:space="preserve"> indefinida en el Frente Sandinista de Liberación Nacional (partido gobernante, en adelante “FSLN”) desde el regreso a la presidencia de Daniel Ortega en 2007</w:t>
      </w:r>
      <w:r w:rsidR="005B5684">
        <w:rPr>
          <w:rFonts w:ascii="Times New Roman" w:eastAsia="Times New Roman" w:hAnsi="Times New Roman" w:cs="Times New Roman"/>
          <w:sz w:val="24"/>
          <w:szCs w:val="24"/>
          <w:vertAlign w:val="superscript"/>
        </w:rPr>
        <w:footnoteReference w:id="19"/>
      </w:r>
      <w:r w:rsidR="005B5684" w:rsidRPr="00C62956">
        <w:rPr>
          <w:rFonts w:ascii="Times New Roman" w:hAnsi="Times New Roman"/>
          <w:sz w:val="24"/>
        </w:rPr>
        <w:t xml:space="preserve">.  La </w:t>
      </w:r>
      <w:r w:rsidR="005B5684" w:rsidRPr="00C62956">
        <w:rPr>
          <w:rFonts w:ascii="Times New Roman" w:hAnsi="Times New Roman"/>
          <w:color w:val="000000"/>
          <w:sz w:val="24"/>
        </w:rPr>
        <w:t xml:space="preserve">Comisión Interamericana de Derechos Humanos (en adelante “CIDH”) </w:t>
      </w:r>
      <w:r w:rsidR="00C22B40" w:rsidRPr="00C62956">
        <w:rPr>
          <w:rFonts w:ascii="Times New Roman" w:hAnsi="Times New Roman"/>
          <w:color w:val="000000"/>
          <w:sz w:val="24"/>
        </w:rPr>
        <w:t>determinó</w:t>
      </w:r>
      <w:r w:rsidR="005B5684" w:rsidRPr="00C62956">
        <w:rPr>
          <w:rFonts w:ascii="Times New Roman" w:hAnsi="Times New Roman"/>
          <w:color w:val="000000"/>
          <w:sz w:val="24"/>
        </w:rPr>
        <w:t xml:space="preserve"> que </w:t>
      </w:r>
      <w:r w:rsidR="00E44985">
        <w:rPr>
          <w:rFonts w:ascii="Times New Roman" w:hAnsi="Times New Roman"/>
          <w:color w:val="000000"/>
          <w:sz w:val="24"/>
        </w:rPr>
        <w:t>la falta</w:t>
      </w:r>
      <w:r w:rsidR="005B5684" w:rsidRPr="00C62956">
        <w:rPr>
          <w:rFonts w:ascii="Times New Roman" w:hAnsi="Times New Roman"/>
          <w:color w:val="000000"/>
          <w:sz w:val="24"/>
        </w:rPr>
        <w:t xml:space="preserve"> </w:t>
      </w:r>
      <w:r w:rsidR="00E44985">
        <w:rPr>
          <w:rFonts w:ascii="Times New Roman" w:hAnsi="Times New Roman"/>
          <w:color w:val="000000"/>
          <w:sz w:val="24"/>
        </w:rPr>
        <w:t xml:space="preserve">de </w:t>
      </w:r>
      <w:r w:rsidR="005B5684" w:rsidRPr="00C62956">
        <w:rPr>
          <w:rFonts w:ascii="Times New Roman" w:hAnsi="Times New Roman"/>
          <w:color w:val="000000"/>
          <w:sz w:val="24"/>
        </w:rPr>
        <w:t xml:space="preserve">independencia judicial </w:t>
      </w:r>
      <w:r w:rsidR="00E44985">
        <w:rPr>
          <w:rFonts w:ascii="Times New Roman" w:hAnsi="Times New Roman"/>
          <w:color w:val="000000"/>
          <w:sz w:val="24"/>
        </w:rPr>
        <w:t>empezó</w:t>
      </w:r>
      <w:r w:rsidR="005B5684" w:rsidRPr="00C62956">
        <w:rPr>
          <w:rFonts w:ascii="Times New Roman" w:hAnsi="Times New Roman"/>
          <w:color w:val="000000"/>
          <w:sz w:val="24"/>
        </w:rPr>
        <w:t xml:space="preserve"> a concretarse progresivamente </w:t>
      </w:r>
      <w:r w:rsidR="005B5684" w:rsidRPr="00C62956">
        <w:rPr>
          <w:rFonts w:ascii="Times New Roman" w:hAnsi="Times New Roman"/>
          <w:b/>
          <w:sz w:val="24"/>
          <w:u w:val="single"/>
        </w:rPr>
        <w:t>desde inicio</w:t>
      </w:r>
      <w:r w:rsidR="00385791">
        <w:rPr>
          <w:rFonts w:ascii="Times New Roman" w:hAnsi="Times New Roman"/>
          <w:b/>
          <w:sz w:val="24"/>
          <w:u w:val="single"/>
        </w:rPr>
        <w:t>s</w:t>
      </w:r>
      <w:r w:rsidR="005B5684" w:rsidRPr="00C62956">
        <w:rPr>
          <w:rFonts w:ascii="Times New Roman" w:hAnsi="Times New Roman"/>
          <w:b/>
          <w:sz w:val="24"/>
          <w:u w:val="single"/>
        </w:rPr>
        <w:t xml:space="preserve"> del siglo XXI</w:t>
      </w:r>
      <w:r w:rsidR="005B5684" w:rsidRPr="00C62956">
        <w:rPr>
          <w:rFonts w:ascii="Times New Roman" w:hAnsi="Times New Roman"/>
          <w:color w:val="000000"/>
          <w:sz w:val="24"/>
        </w:rPr>
        <w:t>, “debido a procesos de designación afectados por el nepotismo o la influencia y manipulación del partido oficial”</w:t>
      </w:r>
      <w:r w:rsidR="005B5684">
        <w:rPr>
          <w:rFonts w:ascii="Times New Roman" w:eastAsia="Times New Roman" w:hAnsi="Times New Roman" w:cs="Times New Roman"/>
          <w:color w:val="000000"/>
          <w:sz w:val="24"/>
          <w:szCs w:val="24"/>
          <w:vertAlign w:val="superscript"/>
        </w:rPr>
        <w:footnoteReference w:id="20"/>
      </w:r>
      <w:r w:rsidR="00D068C6">
        <w:rPr>
          <w:rFonts w:ascii="Times New Roman" w:hAnsi="Times New Roman"/>
          <w:color w:val="000000"/>
          <w:sz w:val="24"/>
        </w:rPr>
        <w:t xml:space="preserve">. </w:t>
      </w:r>
      <w:r w:rsidR="005B5684" w:rsidRPr="00C62956">
        <w:rPr>
          <w:rFonts w:ascii="Times New Roman" w:hAnsi="Times New Roman"/>
          <w:sz w:val="24"/>
        </w:rPr>
        <w:t>La Corte Interamericana de Derechos Humanos (en adelante Corte IDH) en el Caso Gadea Mantilla Vs. Nicaragua también determinó que la independencia e imparcialidad del Poder Judicial fue cooptándose por políticos desde 1999</w:t>
      </w:r>
      <w:r w:rsidR="005B5684">
        <w:rPr>
          <w:rFonts w:ascii="Times New Roman" w:eastAsia="Times New Roman" w:hAnsi="Times New Roman" w:cs="Times New Roman"/>
          <w:sz w:val="24"/>
          <w:szCs w:val="24"/>
          <w:vertAlign w:val="superscript"/>
        </w:rPr>
        <w:footnoteReference w:id="21"/>
      </w:r>
      <w:r w:rsidR="005B5684" w:rsidRPr="00C62956">
        <w:rPr>
          <w:rFonts w:ascii="Times New Roman" w:hAnsi="Times New Roman"/>
          <w:sz w:val="24"/>
        </w:rPr>
        <w:t>, y que “desde 1999 a 2011 se dio un acaparamiento de las instituciones del Estado en manos del partido oficialista, así como un debilitamiento democrático</w:t>
      </w:r>
      <w:r w:rsidR="005B5684">
        <w:rPr>
          <w:rFonts w:ascii="Times New Roman" w:eastAsia="Times New Roman" w:hAnsi="Times New Roman" w:cs="Times New Roman"/>
          <w:sz w:val="24"/>
          <w:szCs w:val="24"/>
        </w:rPr>
        <w:t>”</w:t>
      </w:r>
      <w:r w:rsidR="005B5684">
        <w:rPr>
          <w:rFonts w:ascii="Times New Roman" w:eastAsia="Times New Roman" w:hAnsi="Times New Roman" w:cs="Times New Roman"/>
          <w:sz w:val="24"/>
          <w:szCs w:val="24"/>
          <w:vertAlign w:val="superscript"/>
        </w:rPr>
        <w:footnoteReference w:id="22"/>
      </w:r>
      <w:r w:rsidR="005B5684">
        <w:rPr>
          <w:rFonts w:ascii="Times New Roman" w:eastAsia="Times New Roman" w:hAnsi="Times New Roman" w:cs="Times New Roman"/>
          <w:sz w:val="24"/>
          <w:szCs w:val="24"/>
        </w:rPr>
        <w:t xml:space="preserve">. </w:t>
      </w:r>
    </w:p>
    <w:p w14:paraId="24C1FF0C" w14:textId="0D9F664A"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La Corte</w:t>
      </w:r>
      <w:r w:rsidR="002C4FAE">
        <w:rPr>
          <w:rFonts w:ascii="Times New Roman" w:hAnsi="Times New Roman"/>
          <w:sz w:val="24"/>
        </w:rPr>
        <w:t xml:space="preserve"> </w:t>
      </w:r>
      <w:r w:rsidRPr="00C62956">
        <w:rPr>
          <w:rFonts w:ascii="Times New Roman" w:hAnsi="Times New Roman"/>
          <w:sz w:val="24"/>
        </w:rPr>
        <w:t xml:space="preserve">IDH </w:t>
      </w:r>
      <w:r w:rsidR="00C22B40" w:rsidRPr="00C62956">
        <w:rPr>
          <w:rFonts w:ascii="Times New Roman" w:hAnsi="Times New Roman"/>
          <w:sz w:val="24"/>
        </w:rPr>
        <w:t>ha corroborado</w:t>
      </w:r>
      <w:r w:rsidRPr="00C62956">
        <w:rPr>
          <w:rFonts w:ascii="Times New Roman" w:hAnsi="Times New Roman"/>
          <w:sz w:val="24"/>
        </w:rPr>
        <w:t xml:space="preserve"> que desde 2007 se ha generado un clima de hostilidad, persecución y de antagonismo del gobierno en contra del trabajo </w:t>
      </w:r>
      <w:r w:rsidR="00E44985">
        <w:rPr>
          <w:rFonts w:ascii="Times New Roman" w:hAnsi="Times New Roman"/>
          <w:sz w:val="24"/>
        </w:rPr>
        <w:t xml:space="preserve">de </w:t>
      </w:r>
      <w:r w:rsidRPr="00C62956">
        <w:rPr>
          <w:rFonts w:ascii="Times New Roman" w:hAnsi="Times New Roman"/>
          <w:sz w:val="24"/>
        </w:rPr>
        <w:t>defensoras de derechos humanos [y opositores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w:t>
      </w:r>
      <w:r w:rsidRPr="00C62956">
        <w:rPr>
          <w:rFonts w:ascii="Times New Roman" w:hAnsi="Times New Roman"/>
          <w:sz w:val="24"/>
        </w:rPr>
        <w:t xml:space="preserve"> </w:t>
      </w:r>
      <w:r w:rsidR="00E44985">
        <w:rPr>
          <w:rFonts w:ascii="Times New Roman" w:hAnsi="Times New Roman"/>
          <w:sz w:val="24"/>
        </w:rPr>
        <w:t>El</w:t>
      </w:r>
      <w:r w:rsidRPr="00C62956">
        <w:rPr>
          <w:rFonts w:ascii="Times New Roman" w:hAnsi="Times New Roman"/>
          <w:sz w:val="24"/>
        </w:rPr>
        <w:t xml:space="preserve"> Grupo de Expertos en Derechos Humanos sobre Nicaragua (en adelante “GHREN”) de Naciones Unidas ha constatado que desde 2018 ha existido “un ataque generalizado y sistemático instrumentalizado a través de una campaña discriminatoria, que comprende la comisión de violaciones y abusos a los derechos humanos y delitos internacionales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4162338B" w14:textId="225A240B" w:rsidR="00D55D36" w:rsidRDefault="00A75168" w:rsidP="00145ECF">
      <w:pPr>
        <w:spacing w:after="120" w:line="240" w:lineRule="auto"/>
        <w:jc w:val="both"/>
        <w:rPr>
          <w:rFonts w:ascii="Times New Roman" w:eastAsia="Times New Roman" w:hAnsi="Times New Roman" w:cs="Times New Roman"/>
          <w:sz w:val="24"/>
          <w:szCs w:val="24"/>
        </w:rPr>
      </w:pPr>
      <w:r>
        <w:rPr>
          <w:rFonts w:ascii="Times New Roman" w:hAnsi="Times New Roman"/>
          <w:sz w:val="24"/>
        </w:rPr>
        <w:t>La</w:t>
      </w:r>
      <w:r w:rsidR="005B5684" w:rsidRPr="00C62956">
        <w:rPr>
          <w:rFonts w:ascii="Times New Roman" w:hAnsi="Times New Roman"/>
          <w:sz w:val="24"/>
        </w:rPr>
        <w:t xml:space="preserve"> CIDH ha registrado detenciones por motivos políticos de al menos 2090 personas </w:t>
      </w:r>
      <w:r w:rsidR="0092275F">
        <w:rPr>
          <w:rFonts w:ascii="Times New Roman" w:hAnsi="Times New Roman"/>
          <w:sz w:val="24"/>
        </w:rPr>
        <w:t>en</w:t>
      </w:r>
      <w:r w:rsidR="005B5684" w:rsidRPr="00C62956">
        <w:rPr>
          <w:rFonts w:ascii="Times New Roman" w:hAnsi="Times New Roman"/>
          <w:sz w:val="24"/>
        </w:rPr>
        <w:t xml:space="preserve"> los últimos s</w:t>
      </w:r>
      <w:r w:rsidR="006A36DC">
        <w:rPr>
          <w:rFonts w:ascii="Times New Roman" w:hAnsi="Times New Roman"/>
          <w:sz w:val="24"/>
        </w:rPr>
        <w:t>iete</w:t>
      </w:r>
      <w:r w:rsidR="005B5684" w:rsidRPr="00C62956">
        <w:rPr>
          <w:rFonts w:ascii="Times New Roman" w:hAnsi="Times New Roman"/>
          <w:sz w:val="24"/>
        </w:rPr>
        <w:t xml:space="preserve"> años</w:t>
      </w:r>
      <w:r w:rsidR="005B5684">
        <w:rPr>
          <w:rFonts w:ascii="Times New Roman" w:eastAsia="Times New Roman" w:hAnsi="Times New Roman" w:cs="Times New Roman"/>
          <w:sz w:val="24"/>
          <w:szCs w:val="24"/>
          <w:vertAlign w:val="superscript"/>
        </w:rPr>
        <w:footnoteReference w:id="25"/>
      </w:r>
      <w:r w:rsidR="005B5684" w:rsidRPr="00C62956">
        <w:rPr>
          <w:rFonts w:ascii="Times New Roman" w:hAnsi="Times New Roman"/>
          <w:sz w:val="24"/>
        </w:rPr>
        <w:t xml:space="preserve">, </w:t>
      </w:r>
      <w:r w:rsidR="007212CB">
        <w:rPr>
          <w:rFonts w:ascii="Times New Roman" w:hAnsi="Times New Roman"/>
          <w:sz w:val="24"/>
        </w:rPr>
        <w:t>con</w:t>
      </w:r>
      <w:r w:rsidR="005B5684" w:rsidRPr="00C62956">
        <w:rPr>
          <w:rFonts w:ascii="Times New Roman" w:hAnsi="Times New Roman"/>
          <w:sz w:val="24"/>
        </w:rPr>
        <w:t xml:space="preserve"> procesos penales donde no se aplican las garantías mínimas de un debido proceso</w:t>
      </w:r>
      <w:r w:rsidR="005B5684">
        <w:rPr>
          <w:rFonts w:ascii="Times New Roman" w:eastAsia="Times New Roman" w:hAnsi="Times New Roman" w:cs="Times New Roman"/>
          <w:sz w:val="24"/>
          <w:szCs w:val="24"/>
          <w:vertAlign w:val="superscript"/>
        </w:rPr>
        <w:footnoteReference w:id="26"/>
      </w:r>
      <w:r w:rsidR="005B5684" w:rsidRPr="00C62956">
        <w:rPr>
          <w:rFonts w:ascii="Times New Roman" w:hAnsi="Times New Roman"/>
          <w:sz w:val="24"/>
        </w:rPr>
        <w:t xml:space="preserve">. Muchas personas han sido condenadas bajo distintos tipos penales que “forman parte de un aparato represivo que facilita la concentración del poder desde el Ejecutivo, mediante el uso </w:t>
      </w:r>
      <w:r w:rsidR="005B5684" w:rsidRPr="00C62956">
        <w:rPr>
          <w:rFonts w:ascii="Times New Roman" w:hAnsi="Times New Roman"/>
          <w:sz w:val="24"/>
        </w:rPr>
        <w:lastRenderedPageBreak/>
        <w:t>de la fuerza, la manipulación del derecho penal y el silenciamiento de las voces disidentes en el país</w:t>
      </w:r>
      <w:r w:rsidR="005B5684">
        <w:rPr>
          <w:rFonts w:ascii="Times New Roman" w:eastAsia="Times New Roman" w:hAnsi="Times New Roman" w:cs="Times New Roman"/>
          <w:sz w:val="24"/>
          <w:szCs w:val="24"/>
        </w:rPr>
        <w:t>”</w:t>
      </w:r>
      <w:r w:rsidR="005B5684">
        <w:rPr>
          <w:rFonts w:ascii="Times New Roman" w:eastAsia="Times New Roman" w:hAnsi="Times New Roman" w:cs="Times New Roman"/>
          <w:sz w:val="24"/>
          <w:szCs w:val="24"/>
          <w:vertAlign w:val="superscript"/>
        </w:rPr>
        <w:footnoteReference w:id="27"/>
      </w:r>
      <w:r w:rsidR="005B5684">
        <w:rPr>
          <w:rFonts w:ascii="Times New Roman" w:eastAsia="Times New Roman" w:hAnsi="Times New Roman" w:cs="Times New Roman"/>
          <w:sz w:val="24"/>
          <w:szCs w:val="24"/>
        </w:rPr>
        <w:t>.</w:t>
      </w:r>
      <w:r w:rsidR="005B5684" w:rsidRPr="00C62956">
        <w:rPr>
          <w:rFonts w:ascii="Times New Roman" w:hAnsi="Times New Roman"/>
          <w:sz w:val="24"/>
        </w:rPr>
        <w:t xml:space="preserve"> Las personas detenidas por motivos políticos en Nicaragua suelen ser torturadas</w:t>
      </w:r>
      <w:r w:rsidR="005B5684">
        <w:rPr>
          <w:rFonts w:ascii="Times New Roman" w:eastAsia="Times New Roman" w:hAnsi="Times New Roman" w:cs="Times New Roman"/>
          <w:sz w:val="24"/>
          <w:szCs w:val="24"/>
          <w:vertAlign w:val="superscript"/>
        </w:rPr>
        <w:footnoteReference w:id="28"/>
      </w:r>
      <w:r w:rsidR="005B5684" w:rsidRPr="00C62956">
        <w:rPr>
          <w:rFonts w:ascii="Times New Roman" w:hAnsi="Times New Roman"/>
          <w:sz w:val="24"/>
        </w:rPr>
        <w:t xml:space="preserve">. </w:t>
      </w:r>
    </w:p>
    <w:p w14:paraId="6F604092" w14:textId="6D01DE78"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En enero de 2025 una reforma constitucional legalizó al régimen autoritario en Nicaragua, que pasó de ser un Estado de Derecho a un “Estado revolucionario” con dos </w:t>
      </w:r>
      <w:proofErr w:type="spellStart"/>
      <w:r w:rsidRPr="00C62956">
        <w:rPr>
          <w:rFonts w:ascii="Times New Roman" w:hAnsi="Times New Roman"/>
          <w:sz w:val="24"/>
        </w:rPr>
        <w:t>co-presidentes</w:t>
      </w:r>
      <w:proofErr w:type="spellEnd"/>
      <w:r w:rsidRPr="00C62956">
        <w:rPr>
          <w:rFonts w:ascii="Times New Roman" w:hAnsi="Times New Roman"/>
          <w:sz w:val="24"/>
        </w:rPr>
        <w:t xml:space="preserve"> que </w:t>
      </w:r>
      <w:r w:rsidR="00D068C6">
        <w:rPr>
          <w:rFonts w:ascii="Times New Roman" w:hAnsi="Times New Roman"/>
          <w:sz w:val="24"/>
        </w:rPr>
        <w:t>coordina</w:t>
      </w:r>
      <w:r w:rsidR="00D2006C">
        <w:rPr>
          <w:rFonts w:ascii="Times New Roman" w:hAnsi="Times New Roman"/>
          <w:sz w:val="24"/>
        </w:rPr>
        <w:t>n</w:t>
      </w:r>
      <w:r w:rsidRPr="00C62956">
        <w:rPr>
          <w:rFonts w:ascii="Times New Roman" w:hAnsi="Times New Roman"/>
          <w:sz w:val="24"/>
        </w:rPr>
        <w:t xml:space="preserve"> los “Órganos” (ya no llamados Poderes) Legislativo, Electoral y de Justicia, eliminando la separación de poderes y la independencia judicial de </w:t>
      </w:r>
      <w:r w:rsidRPr="00C62956">
        <w:rPr>
          <w:rFonts w:ascii="Times New Roman" w:hAnsi="Times New Roman"/>
          <w:i/>
          <w:sz w:val="24"/>
        </w:rPr>
        <w:t>iure</w:t>
      </w:r>
      <w:r>
        <w:rPr>
          <w:rFonts w:ascii="Times New Roman" w:eastAsia="Times New Roman" w:hAnsi="Times New Roman" w:cs="Times New Roman"/>
          <w:i/>
          <w:sz w:val="24"/>
          <w:szCs w:val="24"/>
          <w:vertAlign w:val="superscript"/>
        </w:rPr>
        <w:footnoteReference w:id="29"/>
      </w:r>
      <w:r w:rsidRPr="00C62956">
        <w:rPr>
          <w:rFonts w:ascii="Times New Roman" w:hAnsi="Times New Roman"/>
          <w:sz w:val="24"/>
        </w:rPr>
        <w:t xml:space="preserve">. En </w:t>
      </w:r>
      <w:r w:rsidR="00D2006C">
        <w:rPr>
          <w:rFonts w:ascii="Times New Roman" w:hAnsi="Times New Roman"/>
          <w:sz w:val="24"/>
        </w:rPr>
        <w:t>ella</w:t>
      </w:r>
      <w:r w:rsidRPr="00C62956">
        <w:rPr>
          <w:rFonts w:ascii="Times New Roman" w:hAnsi="Times New Roman"/>
          <w:sz w:val="24"/>
        </w:rPr>
        <w:t xml:space="preserve"> fue derogada la prohibición de tortura y las garantías mínimas a un juicio justo</w:t>
      </w:r>
      <w:r>
        <w:rPr>
          <w:rFonts w:ascii="Times New Roman" w:eastAsia="Times New Roman" w:hAnsi="Times New Roman" w:cs="Times New Roman"/>
          <w:sz w:val="24"/>
          <w:szCs w:val="24"/>
          <w:vertAlign w:val="superscript"/>
        </w:rPr>
        <w:footnoteReference w:id="30"/>
      </w:r>
      <w:r w:rsidRPr="00C62956">
        <w:rPr>
          <w:rFonts w:ascii="Times New Roman" w:hAnsi="Times New Roman"/>
          <w:sz w:val="24"/>
        </w:rPr>
        <w:t>. Para Naciones Unidas, esto marcó el fin del Estado de Derecho y las libertades fundamentales en el país</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w:t>
      </w:r>
    </w:p>
    <w:p w14:paraId="5A9A2284" w14:textId="5E244989" w:rsidR="00D55D36" w:rsidRDefault="006A36DC" w:rsidP="00145ECF">
      <w:pPr>
        <w:pStyle w:val="Ttulo1"/>
        <w:numPr>
          <w:ilvl w:val="0"/>
          <w:numId w:val="12"/>
        </w:numPr>
        <w:spacing w:before="0" w:after="120" w:line="240" w:lineRule="auto"/>
        <w:jc w:val="both"/>
        <w:rPr>
          <w:rFonts w:ascii="Times New Roman" w:eastAsia="Times New Roman" w:hAnsi="Times New Roman" w:cs="Times New Roman"/>
          <w:b/>
          <w:color w:val="000000"/>
          <w:sz w:val="24"/>
          <w:szCs w:val="24"/>
        </w:rPr>
      </w:pPr>
      <w:bookmarkStart w:id="18" w:name="_heading=h.1t3h5sf" w:colFirst="0" w:colLast="0"/>
      <w:bookmarkStart w:id="19" w:name="_Toc203004169"/>
      <w:bookmarkEnd w:id="18"/>
      <w:r>
        <w:rPr>
          <w:rFonts w:ascii="Times New Roman" w:hAnsi="Times New Roman"/>
          <w:b/>
          <w:color w:val="000000"/>
          <w:sz w:val="24"/>
        </w:rPr>
        <w:t>Hechos</w:t>
      </w:r>
      <w:r w:rsidR="0029194F">
        <w:rPr>
          <w:rFonts w:ascii="Times New Roman" w:hAnsi="Times New Roman"/>
          <w:b/>
          <w:color w:val="000000"/>
          <w:sz w:val="24"/>
        </w:rPr>
        <w:t xml:space="preserve"> sobre detenciones, torturas, desapariciones forzadas y condiciones carcelarias</w:t>
      </w:r>
      <w:bookmarkEnd w:id="19"/>
    </w:p>
    <w:p w14:paraId="108E932A" w14:textId="7E2B5A2E" w:rsidR="006A36DC" w:rsidRPr="0029194F" w:rsidRDefault="006A36DC" w:rsidP="00145ECF">
      <w:pPr>
        <w:pStyle w:val="Prrafodelista"/>
        <w:numPr>
          <w:ilvl w:val="0"/>
          <w:numId w:val="6"/>
        </w:numPr>
        <w:spacing w:after="120" w:line="240" w:lineRule="auto"/>
        <w:jc w:val="both"/>
        <w:outlineLvl w:val="1"/>
        <w:rPr>
          <w:rFonts w:ascii="Times New Roman" w:hAnsi="Times New Roman"/>
          <w:sz w:val="24"/>
          <w:u w:val="single"/>
        </w:rPr>
      </w:pPr>
      <w:bookmarkStart w:id="20" w:name="_heading=h.17dp8vu" w:colFirst="0" w:colLast="0"/>
      <w:bookmarkStart w:id="21" w:name="_Toc203004170"/>
      <w:bookmarkEnd w:id="20"/>
      <w:r w:rsidRPr="0029194F">
        <w:rPr>
          <w:rFonts w:ascii="Times New Roman" w:hAnsi="Times New Roman"/>
          <w:sz w:val="24"/>
          <w:u w:val="single"/>
        </w:rPr>
        <w:t>Detenciones arbitrarias</w:t>
      </w:r>
      <w:bookmarkEnd w:id="21"/>
    </w:p>
    <w:p w14:paraId="195274B3" w14:textId="1F9E2217"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Las nueve víctimas del presente caso fueron detenidas entre el 22 de julio y el 2 de agosto de 2014, sin orden judicial y sin </w:t>
      </w:r>
      <w:r w:rsidR="00445F71">
        <w:rPr>
          <w:rFonts w:ascii="Times New Roman" w:hAnsi="Times New Roman"/>
          <w:sz w:val="24"/>
        </w:rPr>
        <w:t>conocer</w:t>
      </w:r>
      <w:r w:rsidRPr="00C62956">
        <w:rPr>
          <w:rFonts w:ascii="Times New Roman" w:hAnsi="Times New Roman"/>
          <w:sz w:val="24"/>
        </w:rPr>
        <w:t xml:space="preserve"> los motivos de su detención al momento de la captura. </w:t>
      </w:r>
    </w:p>
    <w:p w14:paraId="0B53A543" w14:textId="1FE7EDE5" w:rsidR="00D55D36" w:rsidRDefault="005B5684" w:rsidP="00145ECF">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Walter Balmaceda</w:t>
      </w:r>
      <w:r w:rsidRPr="00C62956">
        <w:rPr>
          <w:rFonts w:ascii="Times New Roman" w:hAnsi="Times New Roman"/>
          <w:sz w:val="24"/>
        </w:rPr>
        <w:t xml:space="preserve"> fue detenido el 22 de julio de 2014 en la carretera panamericana, mientras se dirigía hacia Managua, donde la </w:t>
      </w:r>
      <w:r w:rsidR="00EC04C8">
        <w:rPr>
          <w:rFonts w:ascii="Times New Roman" w:hAnsi="Times New Roman"/>
          <w:sz w:val="24"/>
        </w:rPr>
        <w:t>policía</w:t>
      </w:r>
      <w:r w:rsidRPr="00C62956">
        <w:rPr>
          <w:rFonts w:ascii="Times New Roman" w:hAnsi="Times New Roman"/>
          <w:sz w:val="24"/>
        </w:rPr>
        <w:t xml:space="preserve"> de la </w:t>
      </w:r>
      <w:r w:rsidR="00AD4CA6">
        <w:rPr>
          <w:rFonts w:ascii="Times New Roman" w:hAnsi="Times New Roman"/>
          <w:sz w:val="24"/>
        </w:rPr>
        <w:t>DAJ</w:t>
      </w:r>
      <w:r w:rsidRPr="00C62956">
        <w:rPr>
          <w:rFonts w:ascii="Times New Roman" w:hAnsi="Times New Roman"/>
          <w:sz w:val="24"/>
        </w:rPr>
        <w:t xml:space="preserve"> (en adelante </w:t>
      </w:r>
      <w:r w:rsidR="00AD4CA6">
        <w:rPr>
          <w:rFonts w:ascii="Times New Roman" w:hAnsi="Times New Roman"/>
          <w:sz w:val="24"/>
        </w:rPr>
        <w:t xml:space="preserve">DAJ o </w:t>
      </w:r>
      <w:r w:rsidRPr="00C62956">
        <w:rPr>
          <w:rFonts w:ascii="Times New Roman" w:hAnsi="Times New Roman"/>
          <w:sz w:val="24"/>
        </w:rPr>
        <w:t xml:space="preserve">“el Chipote”) </w:t>
      </w:r>
      <w:proofErr w:type="gramStart"/>
      <w:r w:rsidRPr="00C62956">
        <w:rPr>
          <w:rFonts w:ascii="Times New Roman" w:hAnsi="Times New Roman"/>
          <w:sz w:val="24"/>
        </w:rPr>
        <w:t>le</w:t>
      </w:r>
      <w:proofErr w:type="gramEnd"/>
      <w:r w:rsidRPr="00C62956">
        <w:rPr>
          <w:rFonts w:ascii="Times New Roman" w:hAnsi="Times New Roman"/>
          <w:sz w:val="24"/>
        </w:rPr>
        <w:t xml:space="preserve"> entregarían a tres trabajadores suyos detenidos implicados en el ataque del 19 de julio. Su camioneta fue interceptada por un vehículo con hombres encapuchados y armados.</w:t>
      </w:r>
    </w:p>
    <w:p w14:paraId="22F7B197" w14:textId="334D6A5B"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José Cortez</w:t>
      </w:r>
      <w:r w:rsidRPr="00C62956">
        <w:rPr>
          <w:rFonts w:ascii="Times New Roman" w:hAnsi="Times New Roman"/>
          <w:sz w:val="24"/>
        </w:rPr>
        <w:t xml:space="preserve"> fue detenido aproximadamente a las 10 AM el 25 de julio por alrededor de 10 militares encapuchados que interceptaron un bus en el que se movilizaba por la carretera San Isidro – León a comprar zacate para sus labores en el campo. Su casa fue allanada sin orden judicial.</w:t>
      </w:r>
    </w:p>
    <w:p w14:paraId="1364B4D1" w14:textId="79EB25B3"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José Meza</w:t>
      </w:r>
      <w:r w:rsidRPr="00C62956">
        <w:rPr>
          <w:rFonts w:ascii="Times New Roman" w:hAnsi="Times New Roman"/>
          <w:sz w:val="24"/>
        </w:rPr>
        <w:t xml:space="preserve"> fue capturado por agentes de la Dirección de Operaciones Especiales de la Policía (DOEP) aproximadamente a la 1 AM del 26 de julio en su domicilio ubicado en la Comarca Santa Ana del municipio de San Isidro, Matagalpa.</w:t>
      </w:r>
      <w:r>
        <w:rPr>
          <w:rFonts w:ascii="Times New Roman" w:eastAsia="Times New Roman" w:hAnsi="Times New Roman" w:cs="Times New Roman"/>
          <w:sz w:val="24"/>
          <w:szCs w:val="24"/>
        </w:rPr>
        <w:t xml:space="preserve"> </w:t>
      </w:r>
    </w:p>
    <w:p w14:paraId="197969EE" w14:textId="5E98DE3C"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Eddy Gutiérrez</w:t>
      </w:r>
      <w:r w:rsidRPr="00C62956">
        <w:rPr>
          <w:rFonts w:ascii="Times New Roman" w:hAnsi="Times New Roman"/>
          <w:sz w:val="24"/>
        </w:rPr>
        <w:t xml:space="preserve"> fue capturado por agentes de la DOEP encapuchados a </w:t>
      </w:r>
      <w:r w:rsidR="00171C3E">
        <w:rPr>
          <w:rFonts w:ascii="Times New Roman" w:hAnsi="Times New Roman"/>
          <w:sz w:val="24"/>
        </w:rPr>
        <w:t xml:space="preserve">eso de </w:t>
      </w:r>
      <w:r w:rsidRPr="00C62956">
        <w:rPr>
          <w:rFonts w:ascii="Times New Roman" w:hAnsi="Times New Roman"/>
          <w:sz w:val="24"/>
        </w:rPr>
        <w:t>la 1 AM el 26 de julio en su domicilio en Ciudad Darío. Fue fuertemente golpeado al ser detenido</w:t>
      </w:r>
      <w:r w:rsidR="003C19B0">
        <w:rPr>
          <w:rFonts w:ascii="Times New Roman" w:hAnsi="Times New Roman"/>
          <w:sz w:val="24"/>
        </w:rPr>
        <w:t xml:space="preserve">, encañaron a sus hijos menores </w:t>
      </w:r>
      <w:r w:rsidRPr="00C62956">
        <w:rPr>
          <w:rFonts w:ascii="Times New Roman" w:hAnsi="Times New Roman"/>
          <w:sz w:val="24"/>
        </w:rPr>
        <w:t>y amenazaron con asesinar a su perro en frente de sus hijos menores de edad. Su casa fue allanada sin orden judicial.</w:t>
      </w:r>
    </w:p>
    <w:p w14:paraId="61E1852F" w14:textId="515385B3"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Zacarias Cano</w:t>
      </w:r>
      <w:r w:rsidRPr="00C62956">
        <w:rPr>
          <w:rFonts w:ascii="Times New Roman" w:hAnsi="Times New Roman"/>
          <w:sz w:val="24"/>
        </w:rPr>
        <w:t xml:space="preserve"> fue capturado por cuatro agentes del </w:t>
      </w:r>
      <w:r w:rsidRPr="0029194F">
        <w:rPr>
          <w:rFonts w:ascii="Times New Roman" w:hAnsi="Times New Roman"/>
          <w:b/>
          <w:bCs/>
          <w:sz w:val="24"/>
        </w:rPr>
        <w:t>Ejército Nacional</w:t>
      </w:r>
      <w:r w:rsidRPr="00C62956">
        <w:rPr>
          <w:rFonts w:ascii="Times New Roman" w:hAnsi="Times New Roman"/>
          <w:sz w:val="24"/>
        </w:rPr>
        <w:t xml:space="preserve"> y personas de civil encapuchadas </w:t>
      </w:r>
      <w:r w:rsidR="00171C3E">
        <w:rPr>
          <w:rFonts w:ascii="Times New Roman" w:hAnsi="Times New Roman"/>
          <w:sz w:val="24"/>
        </w:rPr>
        <w:t>a eso de</w:t>
      </w:r>
      <w:r w:rsidRPr="00C62956">
        <w:rPr>
          <w:rFonts w:ascii="Times New Roman" w:hAnsi="Times New Roman"/>
          <w:sz w:val="24"/>
        </w:rPr>
        <w:t xml:space="preserve"> las 9 AM el 26 de julio en su domicilio en la Comunidad Sabana Grande del municipio de San Ramón en Matagalpa. Al ser </w:t>
      </w:r>
      <w:r w:rsidR="000A7797">
        <w:rPr>
          <w:rFonts w:ascii="Times New Roman" w:hAnsi="Times New Roman"/>
          <w:sz w:val="24"/>
        </w:rPr>
        <w:t>capturado</w:t>
      </w:r>
      <w:r w:rsidRPr="00C62956">
        <w:rPr>
          <w:rFonts w:ascii="Times New Roman" w:hAnsi="Times New Roman"/>
          <w:sz w:val="24"/>
        </w:rPr>
        <w:t xml:space="preserve"> fue </w:t>
      </w:r>
      <w:r w:rsidRPr="006A36DC">
        <w:rPr>
          <w:rFonts w:ascii="Times New Roman" w:hAnsi="Times New Roman"/>
          <w:b/>
          <w:bCs/>
          <w:sz w:val="24"/>
        </w:rPr>
        <w:t xml:space="preserve">golpeado con alambres de púa en brazos y espalda </w:t>
      </w:r>
      <w:r w:rsidR="000A7797" w:rsidRPr="006A36DC">
        <w:rPr>
          <w:rFonts w:ascii="Times New Roman" w:hAnsi="Times New Roman"/>
          <w:b/>
          <w:bCs/>
          <w:sz w:val="24"/>
        </w:rPr>
        <w:t>preguntándole</w:t>
      </w:r>
      <w:r w:rsidRPr="006A36DC">
        <w:rPr>
          <w:rFonts w:ascii="Times New Roman" w:hAnsi="Times New Roman"/>
          <w:b/>
          <w:bCs/>
          <w:sz w:val="24"/>
        </w:rPr>
        <w:t xml:space="preserve"> donde tenía armas.</w:t>
      </w:r>
      <w:r w:rsidRPr="00C62956">
        <w:rPr>
          <w:rFonts w:ascii="Times New Roman" w:hAnsi="Times New Roman"/>
          <w:sz w:val="24"/>
        </w:rPr>
        <w:t xml:space="preserve"> Su casa fue allanada sin orden judicial.</w:t>
      </w:r>
    </w:p>
    <w:p w14:paraId="23BF3EFB" w14:textId="6B0A548E"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Rosendo Huerta</w:t>
      </w:r>
      <w:r w:rsidRPr="00C62956">
        <w:rPr>
          <w:rFonts w:ascii="Times New Roman" w:hAnsi="Times New Roman"/>
          <w:sz w:val="24"/>
        </w:rPr>
        <w:t xml:space="preserve"> fue capturado el 30 de julio alrededor de las 12:00 AM por agentes de la DOEP en su domicilio en la Comunidad Sabana Grande del municipio de San Ramón en Matagalpa. Su casa fue allanada sin orden judicial. </w:t>
      </w:r>
      <w:r w:rsidR="00171C3E">
        <w:rPr>
          <w:rFonts w:ascii="Times New Roman" w:hAnsi="Times New Roman"/>
          <w:sz w:val="24"/>
        </w:rPr>
        <w:t>L</w:t>
      </w:r>
      <w:r w:rsidRPr="00C62956">
        <w:rPr>
          <w:rFonts w:ascii="Times New Roman" w:hAnsi="Times New Roman"/>
          <w:sz w:val="24"/>
        </w:rPr>
        <w:t xml:space="preserve">o </w:t>
      </w:r>
      <w:r w:rsidR="00822871">
        <w:rPr>
          <w:rFonts w:ascii="Times New Roman" w:hAnsi="Times New Roman"/>
          <w:sz w:val="24"/>
        </w:rPr>
        <w:t>arrestaron y</w:t>
      </w:r>
      <w:r w:rsidRPr="00C62956">
        <w:rPr>
          <w:rFonts w:ascii="Times New Roman" w:hAnsi="Times New Roman"/>
          <w:sz w:val="24"/>
        </w:rPr>
        <w:t xml:space="preserve"> lo llevaron a la zona del ataque donde presuntamente </w:t>
      </w:r>
      <w:r w:rsidR="000A7797">
        <w:rPr>
          <w:rFonts w:ascii="Times New Roman" w:hAnsi="Times New Roman"/>
          <w:sz w:val="24"/>
        </w:rPr>
        <w:t>había</w:t>
      </w:r>
      <w:r w:rsidRPr="00C62956">
        <w:rPr>
          <w:rFonts w:ascii="Times New Roman" w:hAnsi="Times New Roman"/>
          <w:sz w:val="24"/>
        </w:rPr>
        <w:t xml:space="preserve"> disparado, </w:t>
      </w:r>
      <w:r w:rsidR="008538B5">
        <w:rPr>
          <w:rFonts w:ascii="Times New Roman" w:hAnsi="Times New Roman"/>
          <w:sz w:val="24"/>
        </w:rPr>
        <w:t xml:space="preserve">pusieron sus </w:t>
      </w:r>
      <w:r w:rsidRPr="00C62956">
        <w:rPr>
          <w:rFonts w:ascii="Times New Roman" w:hAnsi="Times New Roman"/>
          <w:sz w:val="24"/>
        </w:rPr>
        <w:t xml:space="preserve">huellas </w:t>
      </w:r>
      <w:r w:rsidR="008538B5">
        <w:rPr>
          <w:rFonts w:ascii="Times New Roman" w:hAnsi="Times New Roman"/>
          <w:sz w:val="24"/>
        </w:rPr>
        <w:t xml:space="preserve">en </w:t>
      </w:r>
      <w:r w:rsidRPr="00C62956">
        <w:rPr>
          <w:rFonts w:ascii="Times New Roman" w:hAnsi="Times New Roman"/>
          <w:sz w:val="24"/>
        </w:rPr>
        <w:t xml:space="preserve">una botella de licor que después fue prueba </w:t>
      </w:r>
      <w:r w:rsidR="008538B5">
        <w:rPr>
          <w:rFonts w:ascii="Times New Roman" w:hAnsi="Times New Roman"/>
          <w:sz w:val="24"/>
        </w:rPr>
        <w:t>de</w:t>
      </w:r>
      <w:r w:rsidRPr="00C62956">
        <w:rPr>
          <w:rFonts w:ascii="Times New Roman" w:hAnsi="Times New Roman"/>
          <w:sz w:val="24"/>
        </w:rPr>
        <w:t xml:space="preserve"> la fiscalía para inculparlo.</w:t>
      </w:r>
    </w:p>
    <w:p w14:paraId="7ADFF407" w14:textId="58081462"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lastRenderedPageBreak/>
        <w:t>Leonel Poveda</w:t>
      </w:r>
      <w:r w:rsidRPr="00C62956">
        <w:rPr>
          <w:rFonts w:ascii="Times New Roman" w:hAnsi="Times New Roman"/>
          <w:sz w:val="24"/>
        </w:rPr>
        <w:t xml:space="preserve"> fue detenido el 1 de agosto alrededor de las 12:00 PM por agentes del Ejército Nacional que interceptaron un bus público en el que se movilizaba a</w:t>
      </w:r>
      <w:r w:rsidR="0081125A">
        <w:rPr>
          <w:rFonts w:ascii="Times New Roman" w:hAnsi="Times New Roman"/>
          <w:sz w:val="24"/>
        </w:rPr>
        <w:t>l</w:t>
      </w:r>
      <w:r w:rsidRPr="00C62956">
        <w:rPr>
          <w:rFonts w:ascii="Times New Roman" w:hAnsi="Times New Roman"/>
          <w:sz w:val="24"/>
        </w:rPr>
        <w:t xml:space="preserve"> interior del país</w:t>
      </w:r>
      <w:r>
        <w:rPr>
          <w:rFonts w:ascii="Times New Roman" w:eastAsia="Times New Roman" w:hAnsi="Times New Roman" w:cs="Times New Roman"/>
          <w:sz w:val="24"/>
          <w:szCs w:val="24"/>
          <w:vertAlign w:val="superscript"/>
        </w:rPr>
        <w:footnoteReference w:id="32"/>
      </w:r>
      <w:r w:rsidRPr="00C62956">
        <w:rPr>
          <w:rFonts w:ascii="Times New Roman" w:hAnsi="Times New Roman"/>
          <w:sz w:val="24"/>
        </w:rPr>
        <w:t>.</w:t>
      </w:r>
    </w:p>
    <w:p w14:paraId="7CA1B05E" w14:textId="4EB2530F"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Wilfredo Balmaceda</w:t>
      </w:r>
      <w:r w:rsidRPr="00C62956">
        <w:rPr>
          <w:rFonts w:ascii="Times New Roman" w:hAnsi="Times New Roman"/>
          <w:sz w:val="24"/>
        </w:rPr>
        <w:t xml:space="preserve"> fue detenido el 2 de agosto en una zona rural. Fue capturado por </w:t>
      </w:r>
      <w:r w:rsidR="0081125A">
        <w:rPr>
          <w:rFonts w:ascii="Times New Roman" w:hAnsi="Times New Roman"/>
          <w:sz w:val="24"/>
        </w:rPr>
        <w:t>unos</w:t>
      </w:r>
      <w:r w:rsidRPr="00C62956">
        <w:rPr>
          <w:rFonts w:ascii="Times New Roman" w:hAnsi="Times New Roman"/>
          <w:sz w:val="24"/>
        </w:rPr>
        <w:t xml:space="preserve"> 20 agentes de la DOEP fuertemente armados, lo golpearon y amenazaron con asesinarlo. Días antes, el 26 de julio, su casa en Ciudad Darío había sido allanada sin orden judicial.</w:t>
      </w:r>
    </w:p>
    <w:p w14:paraId="61F801DA" w14:textId="3E33648D"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b/>
          <w:sz w:val="24"/>
        </w:rPr>
        <w:t>Jairo Obando</w:t>
      </w:r>
      <w:r w:rsidRPr="00C62956">
        <w:rPr>
          <w:rFonts w:ascii="Times New Roman" w:hAnsi="Times New Roman"/>
          <w:sz w:val="24"/>
        </w:rPr>
        <w:t xml:space="preserve"> fue detenido el 2 de agosto aproximadamente a la 1:00 AM en su domicilio en Ciudad Darío por alrededor de 10 policías. </w:t>
      </w:r>
      <w:r w:rsidR="004F36BA">
        <w:rPr>
          <w:rFonts w:ascii="Times New Roman" w:hAnsi="Times New Roman"/>
          <w:sz w:val="24"/>
        </w:rPr>
        <w:t>Para el</w:t>
      </w:r>
      <w:r w:rsidRPr="00C62956">
        <w:rPr>
          <w:rFonts w:ascii="Times New Roman" w:hAnsi="Times New Roman"/>
          <w:sz w:val="24"/>
        </w:rPr>
        <w:t xml:space="preserve"> allanamiento a su domicilio </w:t>
      </w:r>
      <w:r w:rsidR="004F36BA">
        <w:rPr>
          <w:rFonts w:ascii="Times New Roman" w:hAnsi="Times New Roman"/>
          <w:sz w:val="24"/>
        </w:rPr>
        <w:t>no</w:t>
      </w:r>
      <w:r w:rsidRPr="00C62956">
        <w:rPr>
          <w:rFonts w:ascii="Times New Roman" w:hAnsi="Times New Roman"/>
          <w:sz w:val="24"/>
        </w:rPr>
        <w:t xml:space="preserve"> </w:t>
      </w:r>
      <w:r w:rsidR="004F36BA">
        <w:rPr>
          <w:rFonts w:ascii="Times New Roman" w:hAnsi="Times New Roman"/>
          <w:sz w:val="24"/>
        </w:rPr>
        <w:t xml:space="preserve">hubo </w:t>
      </w:r>
      <w:r w:rsidRPr="00C62956">
        <w:rPr>
          <w:rFonts w:ascii="Times New Roman" w:hAnsi="Times New Roman"/>
          <w:sz w:val="24"/>
        </w:rPr>
        <w:t>orden judicial. Al capturarlo los oficiales le colocaron un pasamontaña y lo subieron a una camioneta.</w:t>
      </w:r>
    </w:p>
    <w:p w14:paraId="681DE544" w14:textId="372D76EC" w:rsidR="006A36DC" w:rsidRPr="0029194F" w:rsidRDefault="006A36DC" w:rsidP="007B7A01">
      <w:pPr>
        <w:pStyle w:val="Prrafodelista"/>
        <w:numPr>
          <w:ilvl w:val="0"/>
          <w:numId w:val="6"/>
        </w:numPr>
        <w:spacing w:after="120" w:line="240" w:lineRule="auto"/>
        <w:jc w:val="both"/>
        <w:outlineLvl w:val="1"/>
        <w:rPr>
          <w:rFonts w:ascii="Times New Roman" w:hAnsi="Times New Roman"/>
          <w:sz w:val="24"/>
          <w:u w:val="single"/>
        </w:rPr>
      </w:pPr>
      <w:bookmarkStart w:id="22" w:name="_Toc203004171"/>
      <w:r w:rsidRPr="0029194F">
        <w:rPr>
          <w:rFonts w:ascii="Times New Roman" w:hAnsi="Times New Roman"/>
          <w:sz w:val="24"/>
          <w:u w:val="single"/>
        </w:rPr>
        <w:t>De</w:t>
      </w:r>
      <w:r w:rsidRPr="0029194F">
        <w:rPr>
          <w:rFonts w:ascii="Times New Roman" w:hAnsi="Times New Roman"/>
          <w:sz w:val="24"/>
          <w:u w:val="single"/>
        </w:rPr>
        <w:t>sapariciones forzadas de corta duración como herramienta política para torturar</w:t>
      </w:r>
      <w:bookmarkEnd w:id="22"/>
    </w:p>
    <w:p w14:paraId="026C0435" w14:textId="02A44650"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Tras sus capturas fueron sometidos a desapariciones de corta duración </w:t>
      </w:r>
      <w:r w:rsidR="00FF5C52">
        <w:rPr>
          <w:rFonts w:ascii="Times New Roman" w:hAnsi="Times New Roman"/>
          <w:sz w:val="24"/>
        </w:rPr>
        <w:t>nega</w:t>
      </w:r>
      <w:r w:rsidR="000A7797">
        <w:rPr>
          <w:rFonts w:ascii="Times New Roman" w:hAnsi="Times New Roman"/>
          <w:sz w:val="24"/>
        </w:rPr>
        <w:t>n</w:t>
      </w:r>
      <w:r w:rsidR="00FF5C52">
        <w:rPr>
          <w:rFonts w:ascii="Times New Roman" w:hAnsi="Times New Roman"/>
          <w:sz w:val="24"/>
        </w:rPr>
        <w:t xml:space="preserve">do </w:t>
      </w:r>
      <w:r w:rsidRPr="00C62956">
        <w:rPr>
          <w:rFonts w:ascii="Times New Roman" w:hAnsi="Times New Roman"/>
          <w:sz w:val="24"/>
        </w:rPr>
        <w:t xml:space="preserve">su paradero a sus familiares. </w:t>
      </w:r>
      <w:r w:rsidR="0047707F">
        <w:rPr>
          <w:rFonts w:ascii="Times New Roman" w:hAnsi="Times New Roman"/>
          <w:sz w:val="24"/>
        </w:rPr>
        <w:t xml:space="preserve">Hasta el </w:t>
      </w:r>
      <w:r w:rsidRPr="00C62956">
        <w:rPr>
          <w:rFonts w:ascii="Times New Roman" w:hAnsi="Times New Roman"/>
          <w:sz w:val="24"/>
        </w:rPr>
        <w:t>7 de agosto de 2014 los familiares</w:t>
      </w:r>
      <w:r w:rsidR="009078B1">
        <w:rPr>
          <w:rFonts w:ascii="Times New Roman" w:hAnsi="Times New Roman"/>
          <w:sz w:val="24"/>
        </w:rPr>
        <w:t xml:space="preserve"> </w:t>
      </w:r>
      <w:r w:rsidR="0029774E">
        <w:rPr>
          <w:rFonts w:ascii="Times New Roman" w:hAnsi="Times New Roman"/>
          <w:sz w:val="24"/>
        </w:rPr>
        <w:t>supieron</w:t>
      </w:r>
      <w:r w:rsidRPr="00C62956">
        <w:rPr>
          <w:rFonts w:ascii="Times New Roman" w:hAnsi="Times New Roman"/>
          <w:sz w:val="24"/>
        </w:rPr>
        <w:t xml:space="preserve"> que estaban en el Chipote </w:t>
      </w:r>
      <w:r w:rsidR="0029774E">
        <w:rPr>
          <w:rFonts w:ascii="Times New Roman" w:hAnsi="Times New Roman"/>
          <w:sz w:val="24"/>
        </w:rPr>
        <w:t>por un</w:t>
      </w:r>
      <w:r w:rsidRPr="00C62956">
        <w:rPr>
          <w:rFonts w:ascii="Times New Roman" w:hAnsi="Times New Roman"/>
          <w:sz w:val="24"/>
        </w:rPr>
        <w:t xml:space="preserve"> video que la policía publicó </w:t>
      </w:r>
      <w:r w:rsidR="0029774E">
        <w:rPr>
          <w:rFonts w:ascii="Times New Roman" w:hAnsi="Times New Roman"/>
          <w:sz w:val="24"/>
        </w:rPr>
        <w:t>en que</w:t>
      </w:r>
      <w:r w:rsidRPr="00C62956">
        <w:rPr>
          <w:rFonts w:ascii="Times New Roman" w:hAnsi="Times New Roman"/>
          <w:sz w:val="24"/>
        </w:rPr>
        <w:t xml:space="preserve"> aparecen algun</w:t>
      </w:r>
      <w:r w:rsidR="0029774E">
        <w:rPr>
          <w:rFonts w:ascii="Times New Roman" w:hAnsi="Times New Roman"/>
          <w:sz w:val="24"/>
        </w:rPr>
        <w:t>a</w:t>
      </w:r>
      <w:r w:rsidRPr="00C62956">
        <w:rPr>
          <w:rFonts w:ascii="Times New Roman" w:hAnsi="Times New Roman"/>
          <w:sz w:val="24"/>
        </w:rPr>
        <w:t>s de las nueve víctimas (Eddy Gutiérrez, Wilfredo Balmaceda, Eddy Obando, José Cortez) confesando</w:t>
      </w:r>
      <w:r w:rsidR="000A7797">
        <w:rPr>
          <w:rFonts w:ascii="Times New Roman" w:hAnsi="Times New Roman"/>
          <w:sz w:val="24"/>
        </w:rPr>
        <w:t xml:space="preserve"> </w:t>
      </w:r>
      <w:r w:rsidRPr="00C62956">
        <w:rPr>
          <w:rFonts w:ascii="Times New Roman" w:hAnsi="Times New Roman"/>
          <w:sz w:val="24"/>
        </w:rPr>
        <w:t>hechos sobre su presunta participación en el ataque a la caravana del 19 de julio de 2014</w:t>
      </w:r>
      <w:r>
        <w:rPr>
          <w:rFonts w:ascii="Times New Roman" w:eastAsia="Times New Roman" w:hAnsi="Times New Roman" w:cs="Times New Roman"/>
          <w:sz w:val="24"/>
          <w:szCs w:val="24"/>
          <w:vertAlign w:val="superscript"/>
        </w:rPr>
        <w:footnoteReference w:id="33"/>
      </w:r>
      <w:r w:rsidRPr="00C62956">
        <w:rPr>
          <w:rFonts w:ascii="Times New Roman" w:hAnsi="Times New Roman"/>
          <w:sz w:val="24"/>
        </w:rPr>
        <w:t xml:space="preserve">, </w:t>
      </w:r>
      <w:r w:rsidR="0029774E">
        <w:rPr>
          <w:rFonts w:ascii="Times New Roman" w:hAnsi="Times New Roman"/>
          <w:sz w:val="24"/>
        </w:rPr>
        <w:t>video</w:t>
      </w:r>
      <w:r w:rsidRPr="00C62956">
        <w:rPr>
          <w:rFonts w:ascii="Times New Roman" w:hAnsi="Times New Roman"/>
          <w:sz w:val="24"/>
        </w:rPr>
        <w:t xml:space="preserve"> realizado bajo </w:t>
      </w:r>
      <w:r w:rsidR="001414A7">
        <w:rPr>
          <w:rFonts w:ascii="Times New Roman" w:hAnsi="Times New Roman"/>
          <w:sz w:val="24"/>
        </w:rPr>
        <w:t xml:space="preserve">las </w:t>
      </w:r>
      <w:r w:rsidRPr="00C62956">
        <w:rPr>
          <w:rFonts w:ascii="Times New Roman" w:hAnsi="Times New Roman"/>
          <w:sz w:val="24"/>
        </w:rPr>
        <w:t>tortura</w:t>
      </w:r>
      <w:r w:rsidR="001414A7">
        <w:rPr>
          <w:rFonts w:ascii="Times New Roman" w:hAnsi="Times New Roman"/>
          <w:sz w:val="24"/>
        </w:rPr>
        <w:t>s que se detallaran abajo</w:t>
      </w:r>
      <w:r w:rsidRPr="00C62956">
        <w:rPr>
          <w:rFonts w:ascii="Times New Roman" w:hAnsi="Times New Roman"/>
          <w:sz w:val="24"/>
        </w:rPr>
        <w:t>.</w:t>
      </w:r>
    </w:p>
    <w:p w14:paraId="04EA09F9" w14:textId="49682753" w:rsidR="00D55D36" w:rsidRDefault="005B5684" w:rsidP="007B7A01">
      <w:pPr>
        <w:spacing w:after="120" w:line="240" w:lineRule="auto"/>
        <w:jc w:val="both"/>
        <w:rPr>
          <w:rFonts w:ascii="Times New Roman" w:eastAsia="Times New Roman" w:hAnsi="Times New Roman" w:cs="Times New Roman"/>
          <w:sz w:val="24"/>
          <w:szCs w:val="24"/>
        </w:rPr>
      </w:pPr>
      <w:r w:rsidRPr="00C62956">
        <w:rPr>
          <w:rFonts w:ascii="Times New Roman" w:hAnsi="Times New Roman"/>
          <w:sz w:val="24"/>
        </w:rPr>
        <w:t xml:space="preserve">Al señor Walter Balmaceda lo lograron ver sus familiares hasta el cuarto día después de su detención en la audiencia preliminar del 26 de julio, pero no les permitieron comunicarse con él de </w:t>
      </w:r>
      <w:r>
        <w:rPr>
          <w:rFonts w:ascii="Times New Roman" w:eastAsia="Times New Roman" w:hAnsi="Times New Roman" w:cs="Times New Roman"/>
          <w:sz w:val="24"/>
          <w:szCs w:val="24"/>
        </w:rPr>
        <w:t>forma</w:t>
      </w:r>
      <w:r w:rsidRPr="00C62956">
        <w:rPr>
          <w:rFonts w:ascii="Times New Roman" w:hAnsi="Times New Roman"/>
          <w:sz w:val="24"/>
        </w:rPr>
        <w:t xml:space="preserve"> privada hasta tres meses después de su captura. Por su parte, </w:t>
      </w:r>
      <w:r w:rsidRPr="00C62956">
        <w:rPr>
          <w:rFonts w:ascii="Times New Roman" w:hAnsi="Times New Roman"/>
          <w:b/>
          <w:sz w:val="24"/>
        </w:rPr>
        <w:t>tras su detención,</w:t>
      </w:r>
      <w:r w:rsidRPr="00C62956">
        <w:rPr>
          <w:rFonts w:ascii="Times New Roman" w:hAnsi="Times New Roman"/>
          <w:sz w:val="24"/>
        </w:rPr>
        <w:t xml:space="preserve"> el señor José Ricardo Cortez pasó 14 días desaparecido y alrededor de dos meses incomunicado sin que se le permitiera visitas; el señor José Olivar Meza permaneció desaparecido y sin recibir visitas alrededor de 20 días; el señor Eddy Gutiérrez pasó 13 días desaparecido y más de un mes sin visitas;  el señor Zacarias Cano pasó 13 días desaparecido y alrededor de 15 días sin visitas; el señor Rosendo Huerta pasó 9 días desaparecido y 12 días sin visitas; el señor Leonel Poveda pasó 8 días desaparecido y más de un mes sin visitas; el señor Wilfredo Balmaceda pasó 7 días con paradero desconocido y alrededor de dos semanas sin visitas; y el señor Jairo Obando pasó 6 días desaparecido y más de 10 días sin visita</w:t>
      </w:r>
      <w:r w:rsidR="00C36342">
        <w:rPr>
          <w:rFonts w:ascii="Times New Roman" w:hAnsi="Times New Roman"/>
          <w:sz w:val="24"/>
        </w:rPr>
        <w:t>s</w:t>
      </w:r>
      <w:r w:rsidRPr="00C62956">
        <w:rPr>
          <w:rFonts w:ascii="Times New Roman" w:hAnsi="Times New Roman"/>
          <w:sz w:val="24"/>
        </w:rPr>
        <w:t>.</w:t>
      </w:r>
    </w:p>
    <w:p w14:paraId="218D4916" w14:textId="63E14783" w:rsidR="00D55D36" w:rsidRPr="003C19B0" w:rsidRDefault="003C19B0" w:rsidP="007B7A01">
      <w:pPr>
        <w:spacing w:after="120" w:line="240" w:lineRule="auto"/>
        <w:jc w:val="both"/>
        <w:rPr>
          <w:rFonts w:ascii="Times New Roman" w:hAnsi="Times New Roman"/>
          <w:sz w:val="24"/>
        </w:rPr>
      </w:pPr>
      <w:r>
        <w:rPr>
          <w:rFonts w:ascii="Times New Roman" w:hAnsi="Times New Roman"/>
          <w:sz w:val="24"/>
        </w:rPr>
        <w:t xml:space="preserve">En ese tiempo </w:t>
      </w:r>
      <w:r w:rsidR="001414A7">
        <w:rPr>
          <w:rFonts w:ascii="Times New Roman" w:hAnsi="Times New Roman"/>
          <w:sz w:val="24"/>
        </w:rPr>
        <w:t>incomunicados</w:t>
      </w:r>
      <w:r w:rsidR="005B5684" w:rsidRPr="00C62956">
        <w:rPr>
          <w:rFonts w:ascii="Times New Roman" w:hAnsi="Times New Roman"/>
          <w:sz w:val="24"/>
        </w:rPr>
        <w:t xml:space="preserve"> las nueve víctimas fueron trasladadas a</w:t>
      </w:r>
      <w:r>
        <w:rPr>
          <w:rFonts w:ascii="Times New Roman" w:hAnsi="Times New Roman"/>
          <w:sz w:val="24"/>
        </w:rPr>
        <w:t xml:space="preserve"> celdas subterráneas del </w:t>
      </w:r>
      <w:r w:rsidR="005B5684" w:rsidRPr="00C62956">
        <w:rPr>
          <w:rFonts w:ascii="Times New Roman" w:hAnsi="Times New Roman"/>
          <w:sz w:val="24"/>
        </w:rPr>
        <w:t>Chipote en Managua</w:t>
      </w:r>
      <w:r>
        <w:rPr>
          <w:rFonts w:ascii="Times New Roman" w:hAnsi="Times New Roman"/>
          <w:sz w:val="24"/>
        </w:rPr>
        <w:t>,</w:t>
      </w:r>
      <w:r w:rsidRPr="003C19B0">
        <w:rPr>
          <w:rFonts w:ascii="Times New Roman" w:hAnsi="Times New Roman"/>
          <w:sz w:val="24"/>
        </w:rPr>
        <w:t xml:space="preserve"> </w:t>
      </w:r>
      <w:r w:rsidRPr="00C62956">
        <w:rPr>
          <w:rFonts w:ascii="Times New Roman" w:hAnsi="Times New Roman"/>
          <w:sz w:val="24"/>
        </w:rPr>
        <w:t>donde pasaban con luces encendidas</w:t>
      </w:r>
      <w:r w:rsidR="001414A7">
        <w:rPr>
          <w:rFonts w:ascii="Times New Roman" w:hAnsi="Times New Roman"/>
          <w:sz w:val="24"/>
        </w:rPr>
        <w:t>,</w:t>
      </w:r>
      <w:r w:rsidRPr="00C62956">
        <w:rPr>
          <w:rFonts w:ascii="Times New Roman" w:hAnsi="Times New Roman"/>
          <w:sz w:val="24"/>
        </w:rPr>
        <w:t xml:space="preserve"> sin acceso a patio-sol</w:t>
      </w:r>
      <w:r w:rsidR="001414A7">
        <w:rPr>
          <w:rFonts w:ascii="Times New Roman" w:hAnsi="Times New Roman"/>
          <w:sz w:val="24"/>
        </w:rPr>
        <w:t xml:space="preserve"> y perdían la noción del tiempo</w:t>
      </w:r>
      <w:r w:rsidR="005B5684" w:rsidRPr="00C62956">
        <w:rPr>
          <w:rFonts w:ascii="Times New Roman" w:hAnsi="Times New Roman"/>
          <w:sz w:val="24"/>
        </w:rPr>
        <w:t>.</w:t>
      </w:r>
      <w:r w:rsidR="00860D87">
        <w:rPr>
          <w:rFonts w:ascii="Times New Roman" w:hAnsi="Times New Roman"/>
          <w:sz w:val="24"/>
        </w:rPr>
        <w:t xml:space="preserve"> </w:t>
      </w:r>
      <w:r>
        <w:rPr>
          <w:rFonts w:ascii="Times New Roman" w:hAnsi="Times New Roman"/>
          <w:sz w:val="24"/>
        </w:rPr>
        <w:t>Ahí fueron</w:t>
      </w:r>
      <w:r w:rsidR="005B5684" w:rsidRPr="00C62956">
        <w:rPr>
          <w:rFonts w:ascii="Times New Roman" w:hAnsi="Times New Roman"/>
          <w:sz w:val="24"/>
        </w:rPr>
        <w:t xml:space="preserve"> sometidas a torturas psicológicas como interrogatorios largos y continuos de madrugada sin ningún abogado. En los interrogatorios los oficiales les mostraban fotos de sus familiares </w:t>
      </w:r>
      <w:r w:rsidR="000A7797">
        <w:rPr>
          <w:rFonts w:ascii="Times New Roman" w:hAnsi="Times New Roman"/>
          <w:sz w:val="24"/>
        </w:rPr>
        <w:t>y</w:t>
      </w:r>
      <w:r w:rsidR="005B5684" w:rsidRPr="00C62956">
        <w:rPr>
          <w:rFonts w:ascii="Times New Roman" w:hAnsi="Times New Roman"/>
          <w:sz w:val="24"/>
        </w:rPr>
        <w:t xml:space="preserve"> les decían que si no confesaban los hechos sus familiares pagarían las consecuencias. José Meza, Eddy Gutiérrez, Zacarias Cano, Rosendo Huerta</w:t>
      </w:r>
      <w:r>
        <w:rPr>
          <w:rFonts w:ascii="Times New Roman" w:hAnsi="Times New Roman"/>
          <w:sz w:val="24"/>
        </w:rPr>
        <w:t xml:space="preserve">, </w:t>
      </w:r>
      <w:r w:rsidR="005B5684" w:rsidRPr="00C62956">
        <w:rPr>
          <w:rFonts w:ascii="Times New Roman" w:hAnsi="Times New Roman"/>
          <w:sz w:val="24"/>
        </w:rPr>
        <w:t>Leonel Poveda, Wilfredo Balmaceda</w:t>
      </w:r>
      <w:r>
        <w:rPr>
          <w:rFonts w:ascii="Times New Roman" w:hAnsi="Times New Roman"/>
          <w:sz w:val="24"/>
        </w:rPr>
        <w:t xml:space="preserve">, </w:t>
      </w:r>
      <w:r w:rsidR="005B5684" w:rsidRPr="00C62956">
        <w:rPr>
          <w:rFonts w:ascii="Times New Roman" w:hAnsi="Times New Roman"/>
          <w:sz w:val="24"/>
        </w:rPr>
        <w:t xml:space="preserve">Jairo Obando </w:t>
      </w:r>
      <w:r>
        <w:rPr>
          <w:rFonts w:ascii="Times New Roman" w:hAnsi="Times New Roman"/>
          <w:sz w:val="24"/>
        </w:rPr>
        <w:t xml:space="preserve">y </w:t>
      </w:r>
      <w:r>
        <w:rPr>
          <w:rFonts w:ascii="Times New Roman" w:hAnsi="Times New Roman"/>
          <w:sz w:val="24"/>
        </w:rPr>
        <w:t xml:space="preserve">Ricardo Cortez (quien tenía 61 años), </w:t>
      </w:r>
      <w:r w:rsidR="005B5684" w:rsidRPr="00C62956">
        <w:rPr>
          <w:rFonts w:ascii="Times New Roman" w:hAnsi="Times New Roman"/>
          <w:sz w:val="24"/>
        </w:rPr>
        <w:t>fueron torturados físicamente con golpizas severas</w:t>
      </w:r>
      <w:r>
        <w:rPr>
          <w:rFonts w:ascii="Times New Roman" w:hAnsi="Times New Roman"/>
          <w:sz w:val="24"/>
        </w:rPr>
        <w:t xml:space="preserve"> </w:t>
      </w:r>
      <w:r w:rsidR="001414A7">
        <w:rPr>
          <w:rFonts w:ascii="Times New Roman" w:hAnsi="Times New Roman"/>
          <w:sz w:val="24"/>
        </w:rPr>
        <w:t xml:space="preserve">(con puños y culata de AK-47) </w:t>
      </w:r>
      <w:r>
        <w:rPr>
          <w:rFonts w:ascii="Times New Roman" w:hAnsi="Times New Roman"/>
          <w:sz w:val="24"/>
        </w:rPr>
        <w:t>en las costillas</w:t>
      </w:r>
      <w:r w:rsidR="001414A7">
        <w:rPr>
          <w:rFonts w:ascii="Times New Roman" w:hAnsi="Times New Roman"/>
          <w:sz w:val="24"/>
        </w:rPr>
        <w:t xml:space="preserve">, ojos, cuello </w:t>
      </w:r>
      <w:r>
        <w:rPr>
          <w:rFonts w:ascii="Times New Roman" w:hAnsi="Times New Roman"/>
          <w:sz w:val="24"/>
        </w:rPr>
        <w:t>y otras partes de</w:t>
      </w:r>
      <w:r w:rsidR="001414A7">
        <w:rPr>
          <w:rFonts w:ascii="Times New Roman" w:hAnsi="Times New Roman"/>
          <w:sz w:val="24"/>
        </w:rPr>
        <w:t>l cuerpo, en especial durante interrogatorios</w:t>
      </w:r>
      <w:r w:rsidR="005B5684" w:rsidRPr="00C62956">
        <w:rPr>
          <w:rFonts w:ascii="Times New Roman" w:hAnsi="Times New Roman"/>
          <w:sz w:val="24"/>
        </w:rPr>
        <w:t>.</w:t>
      </w:r>
      <w:r w:rsidR="00860D87">
        <w:rPr>
          <w:rFonts w:ascii="Times New Roman" w:hAnsi="Times New Roman"/>
          <w:sz w:val="24"/>
        </w:rPr>
        <w:t xml:space="preserve"> </w:t>
      </w:r>
      <w:r>
        <w:rPr>
          <w:rFonts w:ascii="Times New Roman" w:hAnsi="Times New Roman"/>
          <w:sz w:val="24"/>
        </w:rPr>
        <w:t>Además, a Rosendo Huerta se le aplicó la tortura de inmovilización o sería más golpeado</w:t>
      </w:r>
      <w:r w:rsidR="001414A7">
        <w:rPr>
          <w:rFonts w:ascii="Times New Roman" w:hAnsi="Times New Roman"/>
          <w:sz w:val="24"/>
        </w:rPr>
        <w:t>, y un oficial hizo el intento de cortarle la vena yugular en el cuello con un objeto punzante. Los obligaban a dormir desnudos en la loseta y casi no les daban agua ni alimentación.</w:t>
      </w:r>
    </w:p>
    <w:p w14:paraId="4439A13B" w14:textId="1CE120D4" w:rsidR="00D55D36" w:rsidRDefault="001414A7"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lastRenderedPageBreak/>
        <w:t>A su vez, en</w:t>
      </w:r>
      <w:r w:rsidR="005B5684" w:rsidRPr="00C62956">
        <w:rPr>
          <w:rFonts w:ascii="Times New Roman" w:hAnsi="Times New Roman"/>
          <w:sz w:val="24"/>
        </w:rPr>
        <w:t xml:space="preserve"> primeros días de reclusión en el Chipote, Eddy Gutiérrez, Leonel Poveda, Wilfredo Balmaceda, Jairo Obando, </w:t>
      </w:r>
      <w:r>
        <w:rPr>
          <w:rFonts w:ascii="Times New Roman" w:hAnsi="Times New Roman"/>
          <w:sz w:val="24"/>
        </w:rPr>
        <w:t>eran</w:t>
      </w:r>
      <w:r w:rsidR="005B5684" w:rsidRPr="00C62956">
        <w:rPr>
          <w:rFonts w:ascii="Times New Roman" w:hAnsi="Times New Roman"/>
          <w:sz w:val="24"/>
        </w:rPr>
        <w:t xml:space="preserve"> llevados a un</w:t>
      </w:r>
      <w:r w:rsidR="00860D87">
        <w:rPr>
          <w:rFonts w:ascii="Times New Roman" w:hAnsi="Times New Roman"/>
          <w:sz w:val="24"/>
        </w:rPr>
        <w:t xml:space="preserve"> sitio</w:t>
      </w:r>
      <w:r w:rsidR="005B5684" w:rsidRPr="00C62956">
        <w:rPr>
          <w:rFonts w:ascii="Times New Roman" w:hAnsi="Times New Roman"/>
          <w:sz w:val="24"/>
        </w:rPr>
        <w:t xml:space="preserve"> desconocid</w:t>
      </w:r>
      <w:r w:rsidR="00860D87">
        <w:rPr>
          <w:rFonts w:ascii="Times New Roman" w:hAnsi="Times New Roman"/>
          <w:sz w:val="24"/>
        </w:rPr>
        <w:t>o</w:t>
      </w:r>
      <w:r w:rsidR="005B5684" w:rsidRPr="00C62956">
        <w:rPr>
          <w:rFonts w:ascii="Times New Roman" w:hAnsi="Times New Roman"/>
          <w:sz w:val="24"/>
        </w:rPr>
        <w:t xml:space="preserve"> donde fueron sometidos a torturas </w:t>
      </w:r>
      <w:r>
        <w:rPr>
          <w:rFonts w:ascii="Times New Roman" w:hAnsi="Times New Roman"/>
          <w:sz w:val="24"/>
        </w:rPr>
        <w:t>aún más severas</w:t>
      </w:r>
      <w:r w:rsidR="005B5684" w:rsidRPr="00C62956">
        <w:rPr>
          <w:rFonts w:ascii="Times New Roman" w:hAnsi="Times New Roman"/>
          <w:sz w:val="24"/>
        </w:rPr>
        <w:t xml:space="preserve"> </w:t>
      </w:r>
      <w:r>
        <w:rPr>
          <w:rFonts w:ascii="Times New Roman" w:hAnsi="Times New Roman"/>
          <w:sz w:val="24"/>
        </w:rPr>
        <w:t>por</w:t>
      </w:r>
      <w:r w:rsidR="005B5684" w:rsidRPr="00C62956">
        <w:rPr>
          <w:rFonts w:ascii="Times New Roman" w:hAnsi="Times New Roman"/>
          <w:sz w:val="24"/>
        </w:rPr>
        <w:t xml:space="preserve"> hombres encapuchados dirigidos por el jefe de la </w:t>
      </w:r>
      <w:r w:rsidR="00AD4CA6">
        <w:rPr>
          <w:rFonts w:ascii="Times New Roman" w:hAnsi="Times New Roman"/>
          <w:sz w:val="24"/>
        </w:rPr>
        <w:t>DAJ</w:t>
      </w:r>
      <w:r w:rsidR="005B5684" w:rsidRPr="00C62956">
        <w:rPr>
          <w:rFonts w:ascii="Times New Roman" w:hAnsi="Times New Roman"/>
          <w:sz w:val="24"/>
        </w:rPr>
        <w:t xml:space="preserve"> de esa época, Comisionado Ramón Avellán (desde 2018 es subdirector de la Policía Nacional), quien estaba ahí presente. Algunas de estas torturas fueron denunciadas por Eddy Gutiérrez, Wilfredo Balmaceda y Jairo Obando en el juicio oral y público</w:t>
      </w:r>
      <w:r w:rsidR="005B5684">
        <w:rPr>
          <w:rFonts w:ascii="Times New Roman" w:eastAsia="Times New Roman" w:hAnsi="Times New Roman" w:cs="Times New Roman"/>
          <w:sz w:val="24"/>
          <w:szCs w:val="24"/>
          <w:vertAlign w:val="superscript"/>
        </w:rPr>
        <w:footnoteReference w:id="34"/>
      </w:r>
      <w:r w:rsidR="005B5684" w:rsidRPr="00905380">
        <w:rPr>
          <w:rFonts w:ascii="Times New Roman" w:hAnsi="Times New Roman"/>
          <w:sz w:val="24"/>
        </w:rPr>
        <w:t>. Entre otras torturas se encuentran:</w:t>
      </w:r>
    </w:p>
    <w:p w14:paraId="71EB33A1" w14:textId="3C98F4C5" w:rsidR="00D55D36" w:rsidRDefault="005B5684" w:rsidP="007B7A01">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05380">
        <w:rPr>
          <w:rFonts w:ascii="Times New Roman" w:hAnsi="Times New Roman"/>
          <w:color w:val="000000"/>
          <w:sz w:val="24"/>
        </w:rPr>
        <w:t xml:space="preserve">A </w:t>
      </w:r>
      <w:r w:rsidRPr="00905380">
        <w:rPr>
          <w:rFonts w:ascii="Times New Roman" w:hAnsi="Times New Roman"/>
          <w:b/>
          <w:color w:val="000000"/>
          <w:sz w:val="24"/>
        </w:rPr>
        <w:t>Eddy Gutiérrez</w:t>
      </w:r>
      <w:r w:rsidRPr="00905380">
        <w:rPr>
          <w:rFonts w:ascii="Times New Roman" w:hAnsi="Times New Roman"/>
          <w:color w:val="000000"/>
          <w:sz w:val="24"/>
        </w:rPr>
        <w:t xml:space="preserve"> le arrancaron una uña de la mano con tenaza; le extrajeron un diente</w:t>
      </w:r>
      <w:r w:rsidR="0026187E">
        <w:rPr>
          <w:rFonts w:ascii="Times New Roman" w:hAnsi="Times New Roman"/>
          <w:color w:val="000000"/>
          <w:sz w:val="24"/>
        </w:rPr>
        <w:t>;</w:t>
      </w:r>
      <w:r w:rsidRPr="00905380">
        <w:rPr>
          <w:rFonts w:ascii="Times New Roman" w:hAnsi="Times New Roman"/>
          <w:color w:val="000000"/>
          <w:sz w:val="24"/>
        </w:rPr>
        <w:t xml:space="preserve"> lo intentaron asfixiar con una soga; le tiraron ácido en los pies; le amarraron fuerte </w:t>
      </w:r>
      <w:r w:rsidRPr="00905380">
        <w:rPr>
          <w:rFonts w:ascii="Times New Roman" w:hAnsi="Times New Roman"/>
          <w:sz w:val="24"/>
        </w:rPr>
        <w:t>de</w:t>
      </w:r>
      <w:r w:rsidRPr="00905380">
        <w:rPr>
          <w:rFonts w:ascii="Times New Roman" w:hAnsi="Times New Roman"/>
          <w:color w:val="000000"/>
          <w:sz w:val="24"/>
        </w:rPr>
        <w:t xml:space="preserve"> pies y manos para luego estirar sus extremidades en sentido contrario;</w:t>
      </w:r>
      <w:r w:rsidR="0026187E">
        <w:rPr>
          <w:rFonts w:ascii="Times New Roman" w:hAnsi="Times New Roman"/>
          <w:color w:val="000000"/>
          <w:sz w:val="24"/>
        </w:rPr>
        <w:t xml:space="preserve"> lo golpearon;</w:t>
      </w:r>
      <w:r w:rsidRPr="00905380">
        <w:rPr>
          <w:rFonts w:ascii="Times New Roman" w:hAnsi="Times New Roman"/>
          <w:color w:val="000000"/>
          <w:sz w:val="24"/>
        </w:rPr>
        <w:t xml:space="preserve"> le colocaron la cabeza en un sumidero; lo introdujeron desnudo en un barril de agua con electricidad hasta perder el conocimiento; le pusieron hormigas en sus genitales; le tiraban agua a presión en todo su cuerpo</w:t>
      </w:r>
      <w:r w:rsidR="0026187E">
        <w:rPr>
          <w:rFonts w:ascii="Times New Roman" w:hAnsi="Times New Roman"/>
          <w:color w:val="000000"/>
          <w:sz w:val="24"/>
        </w:rPr>
        <w:t xml:space="preserve">. </w:t>
      </w:r>
      <w:r w:rsidRPr="00905380">
        <w:rPr>
          <w:rFonts w:ascii="Times New Roman" w:hAnsi="Times New Roman"/>
          <w:color w:val="000000"/>
          <w:sz w:val="24"/>
        </w:rPr>
        <w:t>Además, el Comisionado Avellán intentó cortarle la vena yugular.</w:t>
      </w:r>
      <w:r>
        <w:rPr>
          <w:rFonts w:ascii="Times New Roman" w:eastAsia="Times New Roman" w:hAnsi="Times New Roman" w:cs="Times New Roman"/>
          <w:color w:val="000000"/>
          <w:sz w:val="24"/>
          <w:szCs w:val="24"/>
        </w:rPr>
        <w:t xml:space="preserve"> </w:t>
      </w:r>
    </w:p>
    <w:p w14:paraId="67288BE4" w14:textId="0762B97F" w:rsidR="00D55D36" w:rsidRDefault="005B5684" w:rsidP="007B7A01">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05380">
        <w:rPr>
          <w:rFonts w:ascii="Times New Roman" w:hAnsi="Times New Roman"/>
          <w:color w:val="000000"/>
          <w:sz w:val="24"/>
        </w:rPr>
        <w:t xml:space="preserve">A </w:t>
      </w:r>
      <w:r w:rsidRPr="00905380">
        <w:rPr>
          <w:rFonts w:ascii="Times New Roman" w:hAnsi="Times New Roman"/>
          <w:b/>
          <w:color w:val="000000"/>
          <w:sz w:val="24"/>
        </w:rPr>
        <w:t>Leonel Poveda</w:t>
      </w:r>
      <w:r w:rsidRPr="00905380">
        <w:rPr>
          <w:rFonts w:ascii="Times New Roman" w:hAnsi="Times New Roman"/>
          <w:color w:val="000000"/>
          <w:sz w:val="24"/>
        </w:rPr>
        <w:t xml:space="preserve"> le arrancaron una uña del pie; lo golpearon; estuvo encapuchado</w:t>
      </w:r>
      <w:r w:rsidR="0051736A">
        <w:rPr>
          <w:rFonts w:ascii="Times New Roman" w:hAnsi="Times New Roman"/>
          <w:color w:val="000000"/>
          <w:sz w:val="24"/>
        </w:rPr>
        <w:t xml:space="preserve"> </w:t>
      </w:r>
      <w:r w:rsidRPr="00905380">
        <w:rPr>
          <w:rFonts w:ascii="Times New Roman" w:hAnsi="Times New Roman"/>
          <w:color w:val="000000"/>
          <w:sz w:val="24"/>
        </w:rPr>
        <w:t xml:space="preserve">y sin moverse. </w:t>
      </w:r>
      <w:r w:rsidRPr="00905380">
        <w:rPr>
          <w:rFonts w:ascii="Times New Roman" w:hAnsi="Times New Roman"/>
          <w:sz w:val="24"/>
        </w:rPr>
        <w:t>M</w:t>
      </w:r>
      <w:r w:rsidRPr="00905380">
        <w:rPr>
          <w:rFonts w:ascii="Times New Roman" w:hAnsi="Times New Roman"/>
          <w:color w:val="000000"/>
          <w:sz w:val="24"/>
        </w:rPr>
        <w:t>ientras lo golpeaban le decían “¿recuerdas cuando anduviste de contrarrevolucionario en los 80’s cuánta gente mataste?”.</w:t>
      </w:r>
      <w:r>
        <w:rPr>
          <w:rFonts w:ascii="Times New Roman" w:eastAsia="Times New Roman" w:hAnsi="Times New Roman" w:cs="Times New Roman"/>
          <w:color w:val="000000"/>
          <w:sz w:val="24"/>
          <w:szCs w:val="24"/>
        </w:rPr>
        <w:t xml:space="preserve">  </w:t>
      </w:r>
    </w:p>
    <w:p w14:paraId="5F3DB83C" w14:textId="77777777" w:rsidR="00030DE2" w:rsidRDefault="005B5684" w:rsidP="00030DE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05380">
        <w:rPr>
          <w:rFonts w:ascii="Times New Roman" w:hAnsi="Times New Roman"/>
          <w:color w:val="000000"/>
          <w:sz w:val="24"/>
        </w:rPr>
        <w:t xml:space="preserve">A </w:t>
      </w:r>
      <w:r w:rsidRPr="00905380">
        <w:rPr>
          <w:rFonts w:ascii="Times New Roman" w:hAnsi="Times New Roman"/>
          <w:b/>
          <w:color w:val="000000"/>
          <w:sz w:val="24"/>
        </w:rPr>
        <w:t>Wilfredo Balmaceda</w:t>
      </w:r>
      <w:r w:rsidRPr="00905380">
        <w:rPr>
          <w:rFonts w:ascii="Times New Roman" w:hAnsi="Times New Roman"/>
          <w:color w:val="000000"/>
          <w:sz w:val="24"/>
        </w:rPr>
        <w:t xml:space="preserve"> lo golpearon y se le reventó un pómulo que se le infectó; lo cubrieron con pasamontaña con olor desagradable; solo le daban un caramelo como alimentación; no le permitían hacer sus necesidades fisiológicas; fue obligado a pasar en una posición inmóvil o si no era golpeado; y muchas veces le pusieron un cuchillo y/o un arma en la cabeza diciéndole que confesara su participación en el ataque del 19 de julio.</w:t>
      </w:r>
    </w:p>
    <w:p w14:paraId="1A916E6A" w14:textId="599C60E3" w:rsidR="00D55D36" w:rsidRPr="00030DE2" w:rsidRDefault="005B5684" w:rsidP="00030DE2">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030DE2">
        <w:rPr>
          <w:rFonts w:ascii="Times New Roman" w:hAnsi="Times New Roman"/>
          <w:color w:val="000000"/>
          <w:sz w:val="24"/>
        </w:rPr>
        <w:t xml:space="preserve">A </w:t>
      </w:r>
      <w:r w:rsidRPr="00030DE2">
        <w:rPr>
          <w:rFonts w:ascii="Times New Roman" w:hAnsi="Times New Roman"/>
          <w:b/>
          <w:color w:val="000000"/>
          <w:sz w:val="24"/>
        </w:rPr>
        <w:t>Jairo Obando</w:t>
      </w:r>
      <w:r w:rsidRPr="00030DE2">
        <w:rPr>
          <w:rFonts w:ascii="Times New Roman" w:hAnsi="Times New Roman"/>
          <w:color w:val="000000"/>
          <w:sz w:val="24"/>
        </w:rPr>
        <w:t xml:space="preserve"> le golpearon las manos y la cara; le quebraron un diente; lo guindaron y lo metieron desnudo en un saco, </w:t>
      </w:r>
      <w:r w:rsidRPr="00030DE2">
        <w:rPr>
          <w:rFonts w:ascii="Times New Roman" w:hAnsi="Times New Roman"/>
          <w:sz w:val="24"/>
        </w:rPr>
        <w:t>cubriendo</w:t>
      </w:r>
      <w:r w:rsidRPr="00030DE2">
        <w:rPr>
          <w:rFonts w:ascii="Times New Roman" w:hAnsi="Times New Roman"/>
          <w:color w:val="000000"/>
          <w:sz w:val="24"/>
        </w:rPr>
        <w:t xml:space="preserve"> su boca con una tela para que no gritara. Así mismo, </w:t>
      </w:r>
      <w:r w:rsidRPr="00030DE2">
        <w:rPr>
          <w:rFonts w:ascii="Times New Roman" w:hAnsi="Times New Roman"/>
          <w:i/>
          <w:color w:val="000000"/>
          <w:sz w:val="24"/>
          <w:u w:val="single"/>
        </w:rPr>
        <w:t>el comisionado Avellán lo violó sexualmente al introducir la punta de un AK-47 en su ano</w:t>
      </w:r>
      <w:r w:rsidRPr="00030DE2">
        <w:rPr>
          <w:rFonts w:ascii="Times New Roman" w:hAnsi="Times New Roman"/>
          <w:color w:val="000000"/>
          <w:sz w:val="24"/>
        </w:rPr>
        <w:t>, mientras los sujetos encapuchados le apuntaban a la víctima con un arma en la cabeza. Le decían que si no confesaba asesinarían a su familia.</w:t>
      </w:r>
      <w:r w:rsidRPr="00030DE2">
        <w:rPr>
          <w:rFonts w:ascii="Times New Roman" w:eastAsia="Times New Roman" w:hAnsi="Times New Roman" w:cs="Times New Roman"/>
          <w:color w:val="000000"/>
          <w:sz w:val="24"/>
          <w:szCs w:val="24"/>
        </w:rPr>
        <w:t xml:space="preserve"> </w:t>
      </w:r>
    </w:p>
    <w:p w14:paraId="175C4391" w14:textId="3351B160" w:rsidR="001414A7" w:rsidRPr="0029194F" w:rsidRDefault="001414A7" w:rsidP="006967FC">
      <w:pPr>
        <w:pStyle w:val="Prrafodelista"/>
        <w:numPr>
          <w:ilvl w:val="0"/>
          <w:numId w:val="6"/>
        </w:numPr>
        <w:spacing w:after="120" w:line="240" w:lineRule="auto"/>
        <w:jc w:val="both"/>
        <w:outlineLvl w:val="1"/>
        <w:rPr>
          <w:rFonts w:ascii="Times New Roman" w:hAnsi="Times New Roman"/>
          <w:sz w:val="24"/>
          <w:u w:val="single"/>
        </w:rPr>
      </w:pPr>
      <w:bookmarkStart w:id="23" w:name="_Toc203004172"/>
      <w:r w:rsidRPr="0029194F">
        <w:rPr>
          <w:rFonts w:ascii="Times New Roman" w:hAnsi="Times New Roman"/>
          <w:sz w:val="24"/>
          <w:u w:val="single"/>
        </w:rPr>
        <w:t>Del Chipote al penal La Modelo</w:t>
      </w:r>
      <w:r w:rsidR="0029194F">
        <w:rPr>
          <w:rFonts w:ascii="Times New Roman" w:hAnsi="Times New Roman"/>
          <w:sz w:val="24"/>
          <w:u w:val="single"/>
        </w:rPr>
        <w:t>: condiciones carcelarias actuales y situación médica</w:t>
      </w:r>
      <w:bookmarkEnd w:id="23"/>
    </w:p>
    <w:p w14:paraId="58458ED4" w14:textId="46C90297" w:rsidR="00D55D36" w:rsidRDefault="001414A7"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 xml:space="preserve">Tras 11 meses en celdas insalubres e infrahumanas en el Chipote, </w:t>
      </w:r>
      <w:r w:rsidR="005B5684" w:rsidRPr="00905380">
        <w:rPr>
          <w:rFonts w:ascii="Times New Roman" w:hAnsi="Times New Roman"/>
          <w:sz w:val="24"/>
        </w:rPr>
        <w:t xml:space="preserve">a </w:t>
      </w:r>
      <w:r w:rsidR="00372ED6">
        <w:rPr>
          <w:rFonts w:ascii="Times New Roman" w:hAnsi="Times New Roman"/>
          <w:sz w:val="24"/>
        </w:rPr>
        <w:t>inicios</w:t>
      </w:r>
      <w:r w:rsidR="005B5684" w:rsidRPr="00905380">
        <w:rPr>
          <w:rFonts w:ascii="Times New Roman" w:hAnsi="Times New Roman"/>
          <w:sz w:val="24"/>
        </w:rPr>
        <w:t xml:space="preserve"> de julio de 2014</w:t>
      </w:r>
      <w:r w:rsidR="006967FC">
        <w:rPr>
          <w:rFonts w:ascii="Times New Roman" w:hAnsi="Times New Roman"/>
          <w:sz w:val="24"/>
        </w:rPr>
        <w:t xml:space="preserve"> las nueve víctimas </w:t>
      </w:r>
      <w:r w:rsidR="005B5684" w:rsidRPr="00905380">
        <w:rPr>
          <w:rFonts w:ascii="Times New Roman" w:hAnsi="Times New Roman"/>
          <w:sz w:val="24"/>
        </w:rPr>
        <w:t>fueron trasladados</w:t>
      </w:r>
      <w:r>
        <w:rPr>
          <w:rFonts w:ascii="Times New Roman" w:hAnsi="Times New Roman"/>
          <w:sz w:val="24"/>
        </w:rPr>
        <w:t xml:space="preserve"> </w:t>
      </w:r>
      <w:r w:rsidR="005B5684" w:rsidRPr="00905380">
        <w:rPr>
          <w:rFonts w:ascii="Times New Roman" w:hAnsi="Times New Roman"/>
          <w:sz w:val="24"/>
        </w:rPr>
        <w:t xml:space="preserve">al Sistema Penitenciario Nacional Jorge Navarro (conocido como “La Modelo”). Ahí todos han estado recluidos, de manera separada, en celdas de máxima seguridad (conocidas como “galería 300”), a excepción del señor José Ricardo Cortez Dávila, quien, perdió </w:t>
      </w:r>
      <w:r w:rsidR="001D0D3B">
        <w:rPr>
          <w:rFonts w:ascii="Times New Roman" w:hAnsi="Times New Roman"/>
          <w:sz w:val="24"/>
        </w:rPr>
        <w:t>la</w:t>
      </w:r>
      <w:r w:rsidR="005B5684" w:rsidRPr="00905380">
        <w:rPr>
          <w:rFonts w:ascii="Times New Roman" w:hAnsi="Times New Roman"/>
          <w:sz w:val="24"/>
        </w:rPr>
        <w:t xml:space="preserve"> vista a sus 70 años por falta de atención médica. Desde principios de 2023 fue trasladado de la galería 300 a la galería 2 alta del mismo penal.</w:t>
      </w:r>
    </w:p>
    <w:p w14:paraId="3BD791D0" w14:textId="38151FFF" w:rsidR="00002C4A" w:rsidRDefault="001D0D3B" w:rsidP="007B7A01">
      <w:pPr>
        <w:spacing w:after="120" w:line="240" w:lineRule="auto"/>
        <w:jc w:val="both"/>
        <w:rPr>
          <w:rFonts w:ascii="Times New Roman" w:hAnsi="Times New Roman"/>
          <w:sz w:val="24"/>
        </w:rPr>
      </w:pPr>
      <w:r>
        <w:rPr>
          <w:rFonts w:ascii="Times New Roman" w:hAnsi="Times New Roman"/>
          <w:sz w:val="24"/>
        </w:rPr>
        <w:t>La</w:t>
      </w:r>
      <w:r w:rsidR="005B5684" w:rsidRPr="00905380">
        <w:rPr>
          <w:rFonts w:ascii="Times New Roman" w:hAnsi="Times New Roman"/>
          <w:sz w:val="24"/>
        </w:rPr>
        <w:t xml:space="preserve">s celdas </w:t>
      </w:r>
      <w:r>
        <w:rPr>
          <w:rFonts w:ascii="Times New Roman" w:hAnsi="Times New Roman"/>
          <w:sz w:val="24"/>
        </w:rPr>
        <w:t>miden</w:t>
      </w:r>
      <w:r w:rsidR="005B5684" w:rsidRPr="00905380">
        <w:rPr>
          <w:rFonts w:ascii="Times New Roman" w:hAnsi="Times New Roman"/>
          <w:sz w:val="24"/>
        </w:rPr>
        <w:t xml:space="preserve"> 2.5 metros de ancho por 3 metros de fondo, con poca luz solar, poca ventilación e insalubres</w:t>
      </w:r>
      <w:r w:rsidR="005B5684">
        <w:rPr>
          <w:rFonts w:ascii="Times New Roman" w:eastAsia="Times New Roman" w:hAnsi="Times New Roman" w:cs="Times New Roman"/>
          <w:sz w:val="24"/>
          <w:szCs w:val="24"/>
          <w:vertAlign w:val="superscript"/>
        </w:rPr>
        <w:footnoteReference w:id="35"/>
      </w:r>
      <w:r w:rsidR="005B5684" w:rsidRPr="00905380">
        <w:rPr>
          <w:rFonts w:ascii="Times New Roman" w:hAnsi="Times New Roman"/>
          <w:sz w:val="24"/>
        </w:rPr>
        <w:t xml:space="preserve">. </w:t>
      </w:r>
      <w:r w:rsidR="006967FC">
        <w:rPr>
          <w:rFonts w:ascii="Times New Roman" w:hAnsi="Times New Roman"/>
          <w:sz w:val="24"/>
        </w:rPr>
        <w:t xml:space="preserve">El agua ha sido todo el tiempo poco potable, pues en ocasiones ha contenido lodo o restos de larva. La alimentación no ha sido nutritiva ni acorde a las necesidades médicas, lo cual ha generado que su salud se deteriore a lo largo de más de 10 años en esas condiciones. Carecen de atención médica adecuada, y desde agosto de 2024 tienen suspendidos los beneficios de acceso a patio-sol y las actividades recreativas. Los guardias le suelen afectar psicológicamente diciendo “nunca saldrán libres”. </w:t>
      </w:r>
      <w:r w:rsidR="00002C4A">
        <w:rPr>
          <w:rFonts w:ascii="Times New Roman" w:hAnsi="Times New Roman"/>
          <w:sz w:val="24"/>
        </w:rPr>
        <w:t>Están desesperados por ser libres y no quieren morir en prisión</w:t>
      </w:r>
    </w:p>
    <w:p w14:paraId="22515875" w14:textId="5E43C57F" w:rsidR="00D55D36" w:rsidRDefault="000D4142" w:rsidP="007B7A01">
      <w:pPr>
        <w:spacing w:after="120" w:line="240" w:lineRule="auto"/>
        <w:jc w:val="both"/>
        <w:rPr>
          <w:rFonts w:ascii="Times New Roman" w:hAnsi="Times New Roman"/>
          <w:sz w:val="24"/>
        </w:rPr>
      </w:pPr>
      <w:r>
        <w:rPr>
          <w:rFonts w:ascii="Times New Roman" w:hAnsi="Times New Roman"/>
          <w:sz w:val="24"/>
        </w:rPr>
        <w:t>Además, l</w:t>
      </w:r>
      <w:r w:rsidRPr="00905380">
        <w:rPr>
          <w:rFonts w:ascii="Times New Roman" w:hAnsi="Times New Roman"/>
          <w:sz w:val="24"/>
        </w:rPr>
        <w:t>as víctimas han carecido de atención médica adecuada para sus padecimientos</w:t>
      </w:r>
      <w:r>
        <w:rPr>
          <w:rFonts w:ascii="Times New Roman" w:hAnsi="Times New Roman"/>
          <w:sz w:val="24"/>
        </w:rPr>
        <w:t xml:space="preserve"> de origen o adquiridos</w:t>
      </w:r>
      <w:r w:rsidRPr="00905380">
        <w:rPr>
          <w:rFonts w:ascii="Times New Roman" w:hAnsi="Times New Roman"/>
          <w:sz w:val="24"/>
        </w:rPr>
        <w:t xml:space="preserve"> a lo largo de prisión</w:t>
      </w:r>
      <w:r>
        <w:rPr>
          <w:rFonts w:ascii="Times New Roman" w:hAnsi="Times New Roman"/>
          <w:sz w:val="24"/>
        </w:rPr>
        <w:t>, las cuales se detallan a continuación:</w:t>
      </w:r>
    </w:p>
    <w:p w14:paraId="541296DF" w14:textId="0BC5086D"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61259A">
        <w:rPr>
          <w:rFonts w:ascii="Times New Roman" w:eastAsia="Times New Roman" w:hAnsi="Times New Roman" w:cs="Times New Roman"/>
          <w:color w:val="000000"/>
          <w:sz w:val="24"/>
          <w:szCs w:val="24"/>
        </w:rPr>
        <w:lastRenderedPageBreak/>
        <w:t>Ricardo Cortez</w:t>
      </w:r>
      <w:r>
        <w:rPr>
          <w:rFonts w:ascii="Times New Roman" w:eastAsia="Times New Roman" w:hAnsi="Times New Roman" w:cs="Times New Roman"/>
          <w:color w:val="000000"/>
          <w:sz w:val="24"/>
          <w:szCs w:val="24"/>
        </w:rPr>
        <w:t>:</w:t>
      </w:r>
      <w:r w:rsidRPr="0061259A">
        <w:rPr>
          <w:rFonts w:ascii="Times New Roman" w:eastAsia="Times New Roman" w:hAnsi="Times New Roman" w:cs="Times New Roman"/>
          <w:color w:val="000000"/>
          <w:sz w:val="24"/>
          <w:szCs w:val="24"/>
        </w:rPr>
        <w:t xml:space="preserve"> de 71 años, </w:t>
      </w:r>
      <w:r>
        <w:rPr>
          <w:rFonts w:ascii="Times New Roman" w:eastAsia="Times New Roman" w:hAnsi="Times New Roman" w:cs="Times New Roman"/>
          <w:color w:val="000000"/>
          <w:sz w:val="24"/>
          <w:szCs w:val="24"/>
        </w:rPr>
        <w:t xml:space="preserve">desde 2023 </w:t>
      </w:r>
      <w:r>
        <w:rPr>
          <w:rFonts w:ascii="Times New Roman" w:eastAsia="Times New Roman" w:hAnsi="Times New Roman" w:cs="Times New Roman"/>
          <w:color w:val="000000"/>
          <w:sz w:val="24"/>
          <w:szCs w:val="24"/>
        </w:rPr>
        <w:t>está</w:t>
      </w:r>
      <w:r w:rsidRPr="0061259A">
        <w:rPr>
          <w:rFonts w:ascii="Times New Roman" w:eastAsia="Times New Roman" w:hAnsi="Times New Roman" w:cs="Times New Roman"/>
          <w:color w:val="000000"/>
          <w:sz w:val="24"/>
          <w:szCs w:val="24"/>
        </w:rPr>
        <w:t xml:space="preserve"> totalmente ciego </w:t>
      </w:r>
      <w:r>
        <w:rPr>
          <w:rFonts w:ascii="Times New Roman" w:eastAsia="Times New Roman" w:hAnsi="Times New Roman" w:cs="Times New Roman"/>
          <w:color w:val="000000"/>
          <w:sz w:val="24"/>
          <w:szCs w:val="24"/>
        </w:rPr>
        <w:t>a causa de cataratas</w:t>
      </w:r>
      <w:r>
        <w:rPr>
          <w:rFonts w:ascii="Times New Roman" w:eastAsia="Times New Roman" w:hAnsi="Times New Roman" w:cs="Times New Roman"/>
          <w:color w:val="000000"/>
          <w:sz w:val="24"/>
          <w:szCs w:val="24"/>
        </w:rPr>
        <w:t xml:space="preserve"> y actualmente tiene problemas de próstata. </w:t>
      </w:r>
      <w:r w:rsidRPr="0061259A">
        <w:rPr>
          <w:rFonts w:ascii="Times New Roman" w:eastAsia="Times New Roman" w:hAnsi="Times New Roman" w:cs="Times New Roman"/>
          <w:color w:val="000000"/>
          <w:sz w:val="24"/>
          <w:szCs w:val="24"/>
        </w:rPr>
        <w:t xml:space="preserve"> </w:t>
      </w:r>
    </w:p>
    <w:p w14:paraId="6832CCE4" w14:textId="4D2ED698"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José Meza: desde marzo de 2025 </w:t>
      </w: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le ha estado subiendo su presión arterial. Además, sigue teniendo fuertes dolores de huesos</w:t>
      </w:r>
      <w:r>
        <w:rPr>
          <w:rFonts w:ascii="Times New Roman" w:eastAsia="Times New Roman" w:hAnsi="Times New Roman" w:cs="Times New Roman"/>
          <w:color w:val="000000"/>
          <w:sz w:val="24"/>
          <w:szCs w:val="24"/>
        </w:rPr>
        <w:t xml:space="preserve"> y de espalda.</w:t>
      </w:r>
      <w:r w:rsidR="00295389">
        <w:rPr>
          <w:rFonts w:ascii="Times New Roman" w:eastAsia="Times New Roman" w:hAnsi="Times New Roman" w:cs="Times New Roman"/>
          <w:color w:val="000000"/>
          <w:sz w:val="24"/>
          <w:szCs w:val="24"/>
        </w:rPr>
        <w:t xml:space="preserve"> Siente que su vista se está deteriorando gravemente por falta de patio-sol desde agosto de 2024.</w:t>
      </w:r>
    </w:p>
    <w:p w14:paraId="7FEB2589" w14:textId="77216699"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Walter Balmaceda</w:t>
      </w:r>
      <w:r>
        <w:rPr>
          <w:rFonts w:ascii="Times New Roman" w:eastAsia="Times New Roman" w:hAnsi="Times New Roman" w:cs="Times New Roman"/>
          <w:color w:val="000000"/>
          <w:sz w:val="24"/>
          <w:szCs w:val="24"/>
        </w:rPr>
        <w:t>: es un enfermo crónico que</w:t>
      </w:r>
      <w:r w:rsidRPr="00297D9D">
        <w:rPr>
          <w:rFonts w:ascii="Times New Roman" w:eastAsia="Times New Roman" w:hAnsi="Times New Roman" w:cs="Times New Roman"/>
          <w:color w:val="000000"/>
          <w:sz w:val="24"/>
          <w:szCs w:val="24"/>
        </w:rPr>
        <w:t xml:space="preserve"> ha desarrollado diabetes grave</w:t>
      </w:r>
      <w:r w:rsidR="00DB023B">
        <w:rPr>
          <w:rFonts w:ascii="Times New Roman" w:eastAsia="Times New Roman" w:hAnsi="Times New Roman" w:cs="Times New Roman"/>
          <w:color w:val="000000"/>
          <w:sz w:val="24"/>
          <w:szCs w:val="24"/>
        </w:rPr>
        <w:t xml:space="preserve">, al punto de la disfuncionalidad de su páncreas desde 2017 y ser insulinodependiente desde entonces. Desde 2017 ha padecido de </w:t>
      </w:r>
      <w:r w:rsidRPr="00297D9D">
        <w:rPr>
          <w:rFonts w:ascii="Times New Roman" w:eastAsia="Times New Roman" w:hAnsi="Times New Roman" w:cs="Times New Roman"/>
          <w:color w:val="000000"/>
          <w:sz w:val="24"/>
          <w:szCs w:val="24"/>
        </w:rPr>
        <w:t>problemas de corazón</w:t>
      </w:r>
      <w:r w:rsidR="00DB023B">
        <w:rPr>
          <w:rFonts w:ascii="Times New Roman" w:eastAsia="Times New Roman" w:hAnsi="Times New Roman" w:cs="Times New Roman"/>
          <w:color w:val="000000"/>
          <w:sz w:val="24"/>
          <w:szCs w:val="24"/>
        </w:rPr>
        <w:t>. Suele tener problemas intestinales y tiene</w:t>
      </w:r>
      <w:r>
        <w:rPr>
          <w:rFonts w:ascii="Times New Roman" w:eastAsia="Times New Roman" w:hAnsi="Times New Roman" w:cs="Times New Roman"/>
          <w:color w:val="000000"/>
          <w:sz w:val="24"/>
          <w:szCs w:val="24"/>
        </w:rPr>
        <w:t xml:space="preserve"> pendiente una intervención quirúrgica desde 2022 por tener un bulto (parecido a una hernia) en su estómago, pero no lo han operado porque Roberto Guevara, jefe de máxima seguridad del penal La Modelo, ha alegado que las celdas no brindan condiciones para su recuperación.</w:t>
      </w:r>
      <w:r w:rsidR="001810F1">
        <w:rPr>
          <w:rFonts w:ascii="Times New Roman" w:eastAsia="Times New Roman" w:hAnsi="Times New Roman" w:cs="Times New Roman"/>
          <w:color w:val="000000"/>
          <w:sz w:val="24"/>
          <w:szCs w:val="24"/>
        </w:rPr>
        <w:t xml:space="preserve"> </w:t>
      </w:r>
      <w:proofErr w:type="gramStart"/>
      <w:r w:rsidR="001810F1">
        <w:rPr>
          <w:rFonts w:ascii="Times New Roman" w:eastAsia="Times New Roman" w:hAnsi="Times New Roman" w:cs="Times New Roman"/>
          <w:color w:val="000000"/>
          <w:sz w:val="24"/>
          <w:szCs w:val="24"/>
        </w:rPr>
        <w:t>Además</w:t>
      </w:r>
      <w:proofErr w:type="gramEnd"/>
      <w:r w:rsidR="001810F1">
        <w:rPr>
          <w:rFonts w:ascii="Times New Roman" w:eastAsia="Times New Roman" w:hAnsi="Times New Roman" w:cs="Times New Roman"/>
          <w:color w:val="000000"/>
          <w:sz w:val="24"/>
          <w:szCs w:val="24"/>
        </w:rPr>
        <w:t xml:space="preserve"> es hipertenso.</w:t>
      </w:r>
    </w:p>
    <w:p w14:paraId="7B0BE962" w14:textId="61A4CD78"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Eddy Gutiérrez</w:t>
      </w:r>
      <w:r>
        <w:rPr>
          <w:rFonts w:ascii="Times New Roman" w:eastAsia="Times New Roman" w:hAnsi="Times New Roman" w:cs="Times New Roman"/>
          <w:color w:val="000000"/>
          <w:sz w:val="24"/>
          <w:szCs w:val="24"/>
        </w:rPr>
        <w:t>:</w:t>
      </w:r>
      <w:r w:rsidRPr="00297D9D">
        <w:rPr>
          <w:rFonts w:ascii="Times New Roman" w:eastAsia="Times New Roman" w:hAnsi="Times New Roman" w:cs="Times New Roman"/>
          <w:color w:val="000000"/>
          <w:sz w:val="24"/>
          <w:szCs w:val="24"/>
        </w:rPr>
        <w:t xml:space="preserve"> </w:t>
      </w:r>
      <w:r w:rsidR="00DB023B">
        <w:rPr>
          <w:rFonts w:ascii="Times New Roman" w:eastAsia="Times New Roman" w:hAnsi="Times New Roman" w:cs="Times New Roman"/>
          <w:color w:val="000000"/>
          <w:sz w:val="24"/>
          <w:szCs w:val="24"/>
        </w:rPr>
        <w:t xml:space="preserve">es hipertenso y </w:t>
      </w:r>
      <w:r>
        <w:rPr>
          <w:rFonts w:ascii="Times New Roman" w:eastAsia="Times New Roman" w:hAnsi="Times New Roman" w:cs="Times New Roman"/>
          <w:color w:val="000000"/>
          <w:sz w:val="24"/>
          <w:szCs w:val="24"/>
        </w:rPr>
        <w:t xml:space="preserve">se le altera la presión arterial por el calor de la celda de castigo “el infiernillo” y </w:t>
      </w:r>
      <w:r w:rsidRPr="00297D9D">
        <w:rPr>
          <w:rFonts w:ascii="Times New Roman" w:eastAsia="Times New Roman" w:hAnsi="Times New Roman" w:cs="Times New Roman"/>
          <w:color w:val="000000"/>
          <w:sz w:val="24"/>
          <w:szCs w:val="24"/>
        </w:rPr>
        <w:t>está perdiendo la vista</w:t>
      </w:r>
      <w:r>
        <w:rPr>
          <w:rFonts w:ascii="Times New Roman" w:eastAsia="Times New Roman" w:hAnsi="Times New Roman" w:cs="Times New Roman"/>
          <w:color w:val="000000"/>
          <w:sz w:val="24"/>
          <w:szCs w:val="24"/>
        </w:rPr>
        <w:t>.</w:t>
      </w:r>
      <w:r w:rsidR="001810F1">
        <w:rPr>
          <w:rFonts w:ascii="Times New Roman" w:eastAsia="Times New Roman" w:hAnsi="Times New Roman" w:cs="Times New Roman"/>
          <w:color w:val="000000"/>
          <w:sz w:val="24"/>
          <w:szCs w:val="24"/>
        </w:rPr>
        <w:t xml:space="preserve"> Tiene problemas renales desde 2023.</w:t>
      </w:r>
    </w:p>
    <w:p w14:paraId="1305551B" w14:textId="77777777"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Rosendo Huerta</w:t>
      </w:r>
      <w:r>
        <w:rPr>
          <w:rFonts w:ascii="Times New Roman" w:eastAsia="Times New Roman" w:hAnsi="Times New Roman" w:cs="Times New Roman"/>
          <w:color w:val="000000"/>
          <w:sz w:val="24"/>
          <w:szCs w:val="24"/>
        </w:rPr>
        <w:t>:</w:t>
      </w:r>
      <w:r w:rsidRPr="00297D9D">
        <w:rPr>
          <w:rFonts w:ascii="Times New Roman" w:eastAsia="Times New Roman" w:hAnsi="Times New Roman" w:cs="Times New Roman"/>
          <w:color w:val="000000"/>
          <w:sz w:val="24"/>
          <w:szCs w:val="24"/>
        </w:rPr>
        <w:t xml:space="preserve"> padece de gastritis y también está perdiendo la vista</w:t>
      </w:r>
      <w:r>
        <w:rPr>
          <w:rFonts w:ascii="Times New Roman" w:eastAsia="Times New Roman" w:hAnsi="Times New Roman" w:cs="Times New Roman"/>
          <w:color w:val="000000"/>
          <w:sz w:val="24"/>
          <w:szCs w:val="24"/>
        </w:rPr>
        <w:t xml:space="preserve">. Desde marzo sus niveles de presión arterial se han estado alterando según médicos del penal que solo se limitan a medirle la presión. Antes no había tenido problemas de hipertensión, lo cual indica </w:t>
      </w:r>
      <w:r w:rsidRPr="00E53659">
        <w:rPr>
          <w:rFonts w:ascii="Times New Roman" w:eastAsia="Times New Roman" w:hAnsi="Times New Roman" w:cs="Times New Roman"/>
          <w:i/>
          <w:iCs/>
          <w:color w:val="000000"/>
          <w:sz w:val="24"/>
          <w:szCs w:val="24"/>
        </w:rPr>
        <w:t xml:space="preserve">per </w:t>
      </w:r>
      <w:proofErr w:type="spellStart"/>
      <w:r w:rsidRPr="00E53659">
        <w:rPr>
          <w:rFonts w:ascii="Times New Roman" w:eastAsia="Times New Roman" w:hAnsi="Times New Roman" w:cs="Times New Roman"/>
          <w:i/>
          <w:iCs/>
          <w:color w:val="000000"/>
          <w:sz w:val="24"/>
          <w:szCs w:val="24"/>
        </w:rPr>
        <w:t>se</w:t>
      </w:r>
      <w:proofErr w:type="spellEnd"/>
      <w:r>
        <w:rPr>
          <w:rFonts w:ascii="Times New Roman" w:eastAsia="Times New Roman" w:hAnsi="Times New Roman" w:cs="Times New Roman"/>
          <w:color w:val="000000"/>
          <w:sz w:val="24"/>
          <w:szCs w:val="24"/>
        </w:rPr>
        <w:t xml:space="preserve"> que su salud está desmejorando. </w:t>
      </w:r>
    </w:p>
    <w:p w14:paraId="4E9EB411" w14:textId="1C5E1C30"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Zacarías Cano</w:t>
      </w:r>
      <w:r>
        <w:rPr>
          <w:rFonts w:ascii="Times New Roman" w:eastAsia="Times New Roman" w:hAnsi="Times New Roman" w:cs="Times New Roman"/>
          <w:color w:val="000000"/>
          <w:sz w:val="24"/>
          <w:szCs w:val="24"/>
        </w:rPr>
        <w:t xml:space="preserve">: </w:t>
      </w:r>
      <w:r w:rsidRPr="00297D9D">
        <w:rPr>
          <w:rFonts w:ascii="Times New Roman" w:eastAsia="Times New Roman" w:hAnsi="Times New Roman" w:cs="Times New Roman"/>
          <w:color w:val="000000"/>
          <w:sz w:val="24"/>
          <w:szCs w:val="24"/>
        </w:rPr>
        <w:t xml:space="preserve">padece de dolores severos de columna </w:t>
      </w:r>
      <w:r>
        <w:rPr>
          <w:rFonts w:ascii="Times New Roman" w:eastAsia="Times New Roman" w:hAnsi="Times New Roman" w:cs="Times New Roman"/>
          <w:color w:val="000000"/>
          <w:sz w:val="24"/>
          <w:szCs w:val="24"/>
        </w:rPr>
        <w:t>e igual</w:t>
      </w:r>
      <w:r w:rsidRPr="00297D9D">
        <w:rPr>
          <w:rFonts w:ascii="Times New Roman" w:eastAsia="Times New Roman" w:hAnsi="Times New Roman" w:cs="Times New Roman"/>
          <w:color w:val="000000"/>
          <w:sz w:val="24"/>
          <w:szCs w:val="24"/>
        </w:rPr>
        <w:t xml:space="preserve"> tiene la vista afectada</w:t>
      </w:r>
      <w:r>
        <w:rPr>
          <w:rFonts w:ascii="Times New Roman" w:eastAsia="Times New Roman" w:hAnsi="Times New Roman" w:cs="Times New Roman"/>
          <w:color w:val="000000"/>
          <w:sz w:val="24"/>
          <w:szCs w:val="24"/>
        </w:rPr>
        <w:t>.</w:t>
      </w:r>
      <w:r w:rsidR="00DB023B">
        <w:rPr>
          <w:rFonts w:ascii="Times New Roman" w:eastAsia="Times New Roman" w:hAnsi="Times New Roman" w:cs="Times New Roman"/>
          <w:color w:val="000000"/>
          <w:sz w:val="24"/>
          <w:szCs w:val="24"/>
        </w:rPr>
        <w:t xml:space="preserve"> Padece de problemas intestinales</w:t>
      </w:r>
    </w:p>
    <w:p w14:paraId="396EC00D" w14:textId="77777777"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 xml:space="preserve"> Jairo Obando</w:t>
      </w:r>
      <w:r>
        <w:rPr>
          <w:rFonts w:ascii="Times New Roman" w:eastAsia="Times New Roman" w:hAnsi="Times New Roman" w:cs="Times New Roman"/>
          <w:color w:val="000000"/>
          <w:sz w:val="24"/>
          <w:szCs w:val="24"/>
        </w:rPr>
        <w:t>:</w:t>
      </w:r>
      <w:r w:rsidRPr="00297D9D">
        <w:rPr>
          <w:rFonts w:ascii="Times New Roman" w:eastAsia="Times New Roman" w:hAnsi="Times New Roman" w:cs="Times New Roman"/>
          <w:color w:val="000000"/>
          <w:sz w:val="24"/>
          <w:szCs w:val="24"/>
        </w:rPr>
        <w:t xml:space="preserve"> tiene </w:t>
      </w:r>
      <w:r>
        <w:rPr>
          <w:rFonts w:ascii="Times New Roman" w:eastAsia="Times New Roman" w:hAnsi="Times New Roman" w:cs="Times New Roman"/>
          <w:color w:val="000000"/>
          <w:sz w:val="24"/>
          <w:szCs w:val="24"/>
        </w:rPr>
        <w:t xml:space="preserve">problemas intestinales e </w:t>
      </w:r>
      <w:r w:rsidRPr="00297D9D">
        <w:rPr>
          <w:rFonts w:ascii="Times New Roman" w:eastAsia="Times New Roman" w:hAnsi="Times New Roman" w:cs="Times New Roman"/>
          <w:color w:val="000000"/>
          <w:sz w:val="24"/>
          <w:szCs w:val="24"/>
        </w:rPr>
        <w:t>infecciones de hongo persistentes por la insalubridad de las celdas</w:t>
      </w:r>
    </w:p>
    <w:p w14:paraId="68CA7E53" w14:textId="593001E1" w:rsidR="000D4142" w:rsidRDefault="000D4142" w:rsidP="00030DE2">
      <w:pPr>
        <w:pStyle w:val="Prrafodelista"/>
        <w:numPr>
          <w:ilvl w:val="0"/>
          <w:numId w:val="13"/>
        </w:numPr>
        <w:spacing w:after="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Leonel Poveda</w:t>
      </w:r>
      <w:r>
        <w:rPr>
          <w:rFonts w:ascii="Times New Roman" w:eastAsia="Times New Roman" w:hAnsi="Times New Roman" w:cs="Times New Roman"/>
          <w:color w:val="000000"/>
          <w:sz w:val="24"/>
          <w:szCs w:val="24"/>
        </w:rPr>
        <w:t>:</w:t>
      </w:r>
      <w:r w:rsidRPr="00297D9D">
        <w:rPr>
          <w:rFonts w:ascii="Times New Roman" w:eastAsia="Times New Roman" w:hAnsi="Times New Roman" w:cs="Times New Roman"/>
          <w:color w:val="000000"/>
          <w:sz w:val="24"/>
          <w:szCs w:val="24"/>
        </w:rPr>
        <w:t xml:space="preserve"> </w:t>
      </w:r>
      <w:r w:rsidR="00295389">
        <w:rPr>
          <w:rFonts w:ascii="Times New Roman" w:eastAsia="Times New Roman" w:hAnsi="Times New Roman" w:cs="Times New Roman"/>
          <w:color w:val="000000"/>
          <w:sz w:val="24"/>
          <w:szCs w:val="24"/>
        </w:rPr>
        <w:t>Desde 2021 t</w:t>
      </w:r>
      <w:r w:rsidRPr="00297D9D">
        <w:rPr>
          <w:rFonts w:ascii="Times New Roman" w:eastAsia="Times New Roman" w:hAnsi="Times New Roman" w:cs="Times New Roman"/>
          <w:color w:val="000000"/>
          <w:sz w:val="24"/>
          <w:szCs w:val="24"/>
        </w:rPr>
        <w:t>iene problemas de gastritis y próstata</w:t>
      </w:r>
      <w:r w:rsidR="00DB023B">
        <w:rPr>
          <w:rFonts w:ascii="Times New Roman" w:eastAsia="Times New Roman" w:hAnsi="Times New Roman" w:cs="Times New Roman"/>
          <w:color w:val="000000"/>
          <w:sz w:val="24"/>
          <w:szCs w:val="24"/>
        </w:rPr>
        <w:t>, y le duele la columna.</w:t>
      </w:r>
    </w:p>
    <w:p w14:paraId="5ADA7872" w14:textId="4D5143E0" w:rsidR="00DB023B" w:rsidRPr="00E04054" w:rsidRDefault="000D4142" w:rsidP="00030DE2">
      <w:pPr>
        <w:pStyle w:val="Prrafodelista"/>
        <w:numPr>
          <w:ilvl w:val="0"/>
          <w:numId w:val="13"/>
        </w:numPr>
        <w:spacing w:after="120"/>
        <w:ind w:left="540"/>
        <w:jc w:val="both"/>
        <w:rPr>
          <w:rFonts w:ascii="Times New Roman" w:eastAsia="Times New Roman" w:hAnsi="Times New Roman" w:cs="Times New Roman"/>
          <w:color w:val="000000"/>
          <w:sz w:val="24"/>
          <w:szCs w:val="24"/>
        </w:rPr>
      </w:pPr>
      <w:r w:rsidRPr="00297D9D">
        <w:rPr>
          <w:rFonts w:ascii="Times New Roman" w:eastAsia="Times New Roman" w:hAnsi="Times New Roman" w:cs="Times New Roman"/>
          <w:color w:val="000000"/>
          <w:sz w:val="24"/>
          <w:szCs w:val="24"/>
        </w:rPr>
        <w:t>Wilfredo Balmaceda</w:t>
      </w:r>
      <w:r>
        <w:rPr>
          <w:rFonts w:ascii="Times New Roman" w:eastAsia="Times New Roman" w:hAnsi="Times New Roman" w:cs="Times New Roman"/>
          <w:color w:val="000000"/>
          <w:sz w:val="24"/>
          <w:szCs w:val="24"/>
        </w:rPr>
        <w:t xml:space="preserve">: </w:t>
      </w:r>
      <w:r w:rsidRPr="00297D9D">
        <w:rPr>
          <w:rFonts w:ascii="Times New Roman" w:eastAsia="Times New Roman" w:hAnsi="Times New Roman" w:cs="Times New Roman"/>
          <w:color w:val="000000"/>
          <w:sz w:val="24"/>
          <w:szCs w:val="24"/>
        </w:rPr>
        <w:t>está perdiendo su vista y sus dientes, y tiene problemas de próstata, pues tiene retención urinaria y le arde orinar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14:paraId="6075F848" w14:textId="4ECF3ADE" w:rsidR="00DB023B" w:rsidRPr="001810F1" w:rsidRDefault="00DB023B" w:rsidP="00002C4A">
      <w:pPr>
        <w:spacing w:after="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Lo anterior permite establecer que</w:t>
      </w:r>
      <w:r w:rsidR="001810F1">
        <w:rPr>
          <w:rFonts w:ascii="Times New Roman" w:eastAsia="Times New Roman" w:hAnsi="Times New Roman" w:cs="Times New Roman"/>
          <w:color w:val="000000"/>
          <w:sz w:val="24"/>
          <w:szCs w:val="24"/>
        </w:rPr>
        <w:t>, de forma común,</w:t>
      </w:r>
      <w:r>
        <w:rPr>
          <w:rFonts w:ascii="Times New Roman" w:eastAsia="Times New Roman" w:hAnsi="Times New Roman" w:cs="Times New Roman"/>
          <w:color w:val="000000"/>
          <w:sz w:val="24"/>
          <w:szCs w:val="24"/>
        </w:rPr>
        <w:t xml:space="preserve"> </w:t>
      </w:r>
      <w:r w:rsidR="001810F1" w:rsidRPr="001810F1">
        <w:rPr>
          <w:rFonts w:ascii="Times New Roman" w:eastAsia="Times New Roman" w:hAnsi="Times New Roman" w:cs="Times New Roman"/>
          <w:b/>
          <w:bCs/>
          <w:color w:val="000000"/>
          <w:sz w:val="24"/>
          <w:szCs w:val="24"/>
        </w:rPr>
        <w:t>3/9 padecen de dolores de espalda</w:t>
      </w:r>
      <w:r w:rsidR="001810F1">
        <w:rPr>
          <w:rFonts w:ascii="Times New Roman" w:eastAsia="Times New Roman" w:hAnsi="Times New Roman" w:cs="Times New Roman"/>
          <w:color w:val="000000"/>
          <w:sz w:val="24"/>
          <w:szCs w:val="24"/>
        </w:rPr>
        <w:t xml:space="preserve"> (José Meza, Zacarias Cano y Leonel Poveda; </w:t>
      </w:r>
      <w:r w:rsidRPr="001810F1">
        <w:rPr>
          <w:rFonts w:ascii="Times New Roman" w:eastAsia="Times New Roman" w:hAnsi="Times New Roman" w:cs="Times New Roman"/>
          <w:b/>
          <w:bCs/>
          <w:color w:val="000000"/>
          <w:sz w:val="24"/>
          <w:szCs w:val="24"/>
        </w:rPr>
        <w:t>4/9 padecen de problemas gastrointestinales</w:t>
      </w:r>
      <w:r>
        <w:rPr>
          <w:rFonts w:ascii="Times New Roman" w:eastAsia="Times New Roman" w:hAnsi="Times New Roman" w:cs="Times New Roman"/>
          <w:color w:val="000000"/>
          <w:sz w:val="24"/>
          <w:szCs w:val="24"/>
        </w:rPr>
        <w:t xml:space="preserve"> (Walter Balmaceda, Zacarias Cano, Rosendo Huerta, Leonel Poveda y Jairo Obando); </w:t>
      </w:r>
      <w:r w:rsidR="001810F1">
        <w:rPr>
          <w:rFonts w:ascii="Times New Roman" w:eastAsia="Times New Roman" w:hAnsi="Times New Roman" w:cs="Times New Roman"/>
          <w:b/>
          <w:bCs/>
          <w:color w:val="000000"/>
          <w:sz w:val="24"/>
          <w:szCs w:val="24"/>
        </w:rPr>
        <w:t>4</w:t>
      </w:r>
      <w:r w:rsidR="001810F1" w:rsidRPr="001810F1">
        <w:rPr>
          <w:rFonts w:ascii="Times New Roman" w:eastAsia="Times New Roman" w:hAnsi="Times New Roman" w:cs="Times New Roman"/>
          <w:b/>
          <w:bCs/>
          <w:color w:val="000000"/>
          <w:sz w:val="24"/>
          <w:szCs w:val="24"/>
        </w:rPr>
        <w:t>/9 son hipertensos</w:t>
      </w:r>
      <w:r w:rsidR="001810F1">
        <w:rPr>
          <w:rFonts w:ascii="Times New Roman" w:eastAsia="Times New Roman" w:hAnsi="Times New Roman" w:cs="Times New Roman"/>
          <w:color w:val="000000"/>
          <w:sz w:val="24"/>
          <w:szCs w:val="24"/>
        </w:rPr>
        <w:t xml:space="preserve"> (Walter Balmaceda, Eddy </w:t>
      </w:r>
      <w:proofErr w:type="spellStart"/>
      <w:r w:rsidR="001810F1">
        <w:rPr>
          <w:rFonts w:ascii="Times New Roman" w:eastAsia="Times New Roman" w:hAnsi="Times New Roman" w:cs="Times New Roman"/>
          <w:color w:val="000000"/>
          <w:sz w:val="24"/>
          <w:szCs w:val="24"/>
        </w:rPr>
        <w:t>Gutierrez</w:t>
      </w:r>
      <w:proofErr w:type="spellEnd"/>
      <w:r w:rsidR="001810F1">
        <w:rPr>
          <w:rFonts w:ascii="Times New Roman" w:eastAsia="Times New Roman" w:hAnsi="Times New Roman" w:cs="Times New Roman"/>
          <w:color w:val="000000"/>
          <w:sz w:val="24"/>
          <w:szCs w:val="24"/>
        </w:rPr>
        <w:t>, José Meza, Rosendo Huerta, estos dos últimos han desarrollado esta enfermedad crónica en prisión)</w:t>
      </w:r>
      <w:r w:rsidR="001810F1">
        <w:rPr>
          <w:rFonts w:ascii="Times New Roman" w:eastAsia="Times New Roman" w:hAnsi="Times New Roman" w:cs="Times New Roman"/>
          <w:color w:val="000000"/>
          <w:sz w:val="24"/>
          <w:szCs w:val="24"/>
        </w:rPr>
        <w:t xml:space="preserve">; </w:t>
      </w:r>
      <w:r w:rsidRPr="001810F1">
        <w:rPr>
          <w:rFonts w:ascii="Times New Roman" w:eastAsia="Times New Roman" w:hAnsi="Times New Roman" w:cs="Times New Roman"/>
          <w:b/>
          <w:bCs/>
          <w:color w:val="000000"/>
          <w:sz w:val="24"/>
          <w:szCs w:val="24"/>
        </w:rPr>
        <w:t xml:space="preserve">5/9 padecen tienen sintomatología de problemas de próstata </w:t>
      </w:r>
      <w:r w:rsidR="001810F1" w:rsidRPr="001810F1">
        <w:rPr>
          <w:rFonts w:ascii="Times New Roman" w:eastAsia="Times New Roman" w:hAnsi="Times New Roman" w:cs="Times New Roman"/>
          <w:b/>
          <w:bCs/>
          <w:color w:val="000000"/>
          <w:sz w:val="24"/>
          <w:szCs w:val="24"/>
        </w:rPr>
        <w:t>y/o renales</w:t>
      </w:r>
      <w:r w:rsidR="001810F1">
        <w:rPr>
          <w:rFonts w:ascii="Times New Roman" w:eastAsia="Times New Roman" w:hAnsi="Times New Roman" w:cs="Times New Roman"/>
          <w:color w:val="000000"/>
          <w:sz w:val="24"/>
          <w:szCs w:val="24"/>
        </w:rPr>
        <w:t xml:space="preserve">, como dificultad y dolor para orinar </w:t>
      </w:r>
      <w:r>
        <w:rPr>
          <w:rFonts w:ascii="Times New Roman" w:eastAsia="Times New Roman" w:hAnsi="Times New Roman" w:cs="Times New Roman"/>
          <w:color w:val="000000"/>
          <w:sz w:val="24"/>
          <w:szCs w:val="24"/>
        </w:rPr>
        <w:t>(</w:t>
      </w:r>
      <w:r w:rsidRPr="00DB023B">
        <w:rPr>
          <w:rFonts w:ascii="Times New Roman" w:eastAsia="Times New Roman" w:hAnsi="Times New Roman" w:cs="Times New Roman"/>
          <w:color w:val="000000"/>
          <w:sz w:val="24"/>
          <w:szCs w:val="24"/>
        </w:rPr>
        <w:t>Eddy Gutiérrez, Zacarias Cano</w:t>
      </w:r>
      <w:r>
        <w:rPr>
          <w:rFonts w:ascii="Times New Roman" w:eastAsia="Times New Roman" w:hAnsi="Times New Roman" w:cs="Times New Roman"/>
          <w:color w:val="000000"/>
          <w:sz w:val="24"/>
          <w:szCs w:val="24"/>
        </w:rPr>
        <w:t xml:space="preserve">, </w:t>
      </w:r>
      <w:r w:rsidRPr="00DB023B">
        <w:rPr>
          <w:rFonts w:ascii="Times New Roman" w:eastAsia="Times New Roman" w:hAnsi="Times New Roman" w:cs="Times New Roman"/>
          <w:color w:val="000000"/>
          <w:sz w:val="24"/>
          <w:szCs w:val="24"/>
        </w:rPr>
        <w:t>Leonel Poveda</w:t>
      </w:r>
      <w:r>
        <w:rPr>
          <w:rFonts w:ascii="Times New Roman" w:eastAsia="Times New Roman" w:hAnsi="Times New Roman" w:cs="Times New Roman"/>
          <w:color w:val="000000"/>
          <w:sz w:val="24"/>
          <w:szCs w:val="24"/>
        </w:rPr>
        <w:t xml:space="preserve">, </w:t>
      </w:r>
      <w:r w:rsidRPr="00DB023B">
        <w:rPr>
          <w:rFonts w:ascii="Times New Roman" w:eastAsia="Times New Roman" w:hAnsi="Times New Roman" w:cs="Times New Roman"/>
          <w:color w:val="000000"/>
          <w:sz w:val="24"/>
          <w:szCs w:val="24"/>
        </w:rPr>
        <w:t>José Ricardo Corte</w:t>
      </w:r>
      <w:r>
        <w:rPr>
          <w:rFonts w:ascii="Times New Roman" w:eastAsia="Times New Roman" w:hAnsi="Times New Roman" w:cs="Times New Roman"/>
          <w:color w:val="000000"/>
          <w:sz w:val="24"/>
          <w:szCs w:val="24"/>
        </w:rPr>
        <w:t>z</w:t>
      </w:r>
      <w:r w:rsidRPr="00DB023B">
        <w:rPr>
          <w:rFonts w:ascii="Times New Roman" w:eastAsia="Times New Roman" w:hAnsi="Times New Roman" w:cs="Times New Roman"/>
          <w:color w:val="000000"/>
          <w:sz w:val="24"/>
          <w:szCs w:val="24"/>
        </w:rPr>
        <w:t xml:space="preserve"> y Wilfredo Balmaceda</w:t>
      </w:r>
      <w:r>
        <w:rPr>
          <w:rFonts w:ascii="Times New Roman" w:eastAsia="Times New Roman" w:hAnsi="Times New Roman" w:cs="Times New Roman"/>
          <w:color w:val="000000"/>
          <w:sz w:val="24"/>
          <w:szCs w:val="24"/>
        </w:rPr>
        <w:t>)</w:t>
      </w:r>
      <w:r w:rsidR="001810F1">
        <w:rPr>
          <w:rFonts w:ascii="Times New Roman" w:eastAsia="Times New Roman" w:hAnsi="Times New Roman" w:cs="Times New Roman"/>
          <w:color w:val="000000"/>
          <w:sz w:val="24"/>
          <w:szCs w:val="24"/>
        </w:rPr>
        <w:t xml:space="preserve">; </w:t>
      </w:r>
      <w:r w:rsidR="00295389">
        <w:rPr>
          <w:rFonts w:ascii="Times New Roman" w:eastAsia="Times New Roman" w:hAnsi="Times New Roman" w:cs="Times New Roman"/>
          <w:b/>
          <w:bCs/>
          <w:color w:val="000000"/>
          <w:sz w:val="24"/>
          <w:szCs w:val="24"/>
        </w:rPr>
        <w:t>6</w:t>
      </w:r>
      <w:r w:rsidR="001810F1" w:rsidRPr="001810F1">
        <w:rPr>
          <w:rFonts w:ascii="Times New Roman" w:eastAsia="Times New Roman" w:hAnsi="Times New Roman" w:cs="Times New Roman"/>
          <w:b/>
          <w:bCs/>
          <w:color w:val="000000"/>
          <w:sz w:val="24"/>
          <w:szCs w:val="24"/>
        </w:rPr>
        <w:t>/9 han manifestado un deterioro progresivo de su vista</w:t>
      </w:r>
      <w:r w:rsidR="001810F1">
        <w:rPr>
          <w:rFonts w:ascii="Times New Roman" w:eastAsia="Times New Roman" w:hAnsi="Times New Roman" w:cs="Times New Roman"/>
          <w:color w:val="000000"/>
          <w:sz w:val="24"/>
          <w:szCs w:val="24"/>
        </w:rPr>
        <w:t xml:space="preserve"> (</w:t>
      </w:r>
      <w:r w:rsidR="00295389">
        <w:rPr>
          <w:rFonts w:ascii="Times New Roman" w:eastAsia="Times New Roman" w:hAnsi="Times New Roman" w:cs="Times New Roman"/>
          <w:color w:val="000000"/>
          <w:sz w:val="24"/>
          <w:szCs w:val="24"/>
        </w:rPr>
        <w:t xml:space="preserve">José Meza, </w:t>
      </w:r>
      <w:r w:rsidR="001810F1">
        <w:rPr>
          <w:rFonts w:ascii="Times New Roman" w:eastAsia="Times New Roman" w:hAnsi="Times New Roman" w:cs="Times New Roman"/>
          <w:color w:val="000000"/>
          <w:sz w:val="24"/>
          <w:szCs w:val="24"/>
        </w:rPr>
        <w:t>J</w:t>
      </w:r>
      <w:r w:rsidR="001810F1" w:rsidRPr="001810F1">
        <w:rPr>
          <w:rFonts w:ascii="Times New Roman" w:eastAsia="Times New Roman" w:hAnsi="Times New Roman" w:cs="Times New Roman"/>
          <w:color w:val="000000"/>
          <w:sz w:val="24"/>
          <w:szCs w:val="24"/>
        </w:rPr>
        <w:t>osé Ricardo Corte</w:t>
      </w:r>
      <w:r w:rsidR="001810F1">
        <w:rPr>
          <w:rFonts w:ascii="Times New Roman" w:eastAsia="Times New Roman" w:hAnsi="Times New Roman" w:cs="Times New Roman"/>
          <w:color w:val="000000"/>
          <w:sz w:val="24"/>
          <w:szCs w:val="24"/>
        </w:rPr>
        <w:t>z</w:t>
      </w:r>
      <w:r w:rsidR="001810F1" w:rsidRPr="001810F1">
        <w:rPr>
          <w:rFonts w:ascii="Times New Roman" w:eastAsia="Times New Roman" w:hAnsi="Times New Roman" w:cs="Times New Roman"/>
          <w:color w:val="000000"/>
          <w:sz w:val="24"/>
          <w:szCs w:val="24"/>
        </w:rPr>
        <w:t>, Eddy Gutiérrez, Zacarias Cano, Rosendo Huerta y Wilfredo Balmaceda</w:t>
      </w:r>
      <w:r w:rsidR="001810F1">
        <w:rPr>
          <w:rFonts w:ascii="Times New Roman" w:eastAsia="Times New Roman" w:hAnsi="Times New Roman" w:cs="Times New Roman"/>
          <w:color w:val="000000"/>
          <w:sz w:val="24"/>
          <w:szCs w:val="24"/>
        </w:rPr>
        <w:t xml:space="preserve">), siendo José Cortez el peor caso dado que perdió la vista en 2023 por la falta de atención médica para tratar sus cataratas; </w:t>
      </w:r>
      <w:r w:rsidR="001810F1" w:rsidRPr="001810F1">
        <w:rPr>
          <w:rFonts w:ascii="Times New Roman" w:eastAsia="Times New Roman" w:hAnsi="Times New Roman" w:cs="Times New Roman"/>
          <w:b/>
          <w:bCs/>
          <w:color w:val="000000"/>
          <w:sz w:val="24"/>
          <w:szCs w:val="24"/>
        </w:rPr>
        <w:t>1 tiene diabetes y problemas de corazón (Walter Balmaceda).</w:t>
      </w:r>
    </w:p>
    <w:p w14:paraId="2CCDACFA" w14:textId="28E8B5F3" w:rsidR="000D4142" w:rsidRPr="00002C4A" w:rsidRDefault="00002C4A" w:rsidP="00002C4A">
      <w:pPr>
        <w:spacing w:after="120" w:line="240" w:lineRule="auto"/>
        <w:jc w:val="both"/>
        <w:rPr>
          <w:rFonts w:ascii="Times New Roman" w:hAnsi="Times New Roman"/>
          <w:sz w:val="24"/>
        </w:rPr>
      </w:pPr>
      <w:r w:rsidRPr="0098713F">
        <w:rPr>
          <w:rFonts w:ascii="Times New Roman" w:hAnsi="Times New Roman"/>
          <w:b/>
          <w:bCs/>
          <w:sz w:val="24"/>
        </w:rPr>
        <w:t>Todo ese deterioro paulatino de la salud no es casualidad</w:t>
      </w:r>
      <w:r>
        <w:rPr>
          <w:rFonts w:ascii="Times New Roman" w:hAnsi="Times New Roman"/>
          <w:sz w:val="24"/>
        </w:rPr>
        <w:t>, pues l</w:t>
      </w:r>
      <w:r>
        <w:rPr>
          <w:rFonts w:ascii="Times New Roman" w:hAnsi="Times New Roman"/>
          <w:sz w:val="24"/>
        </w:rPr>
        <w:t>as precarias condiciones carcelarias</w:t>
      </w:r>
      <w:r>
        <w:rPr>
          <w:rFonts w:ascii="Times New Roman" w:hAnsi="Times New Roman"/>
          <w:sz w:val="24"/>
        </w:rPr>
        <w:t xml:space="preserve">, </w:t>
      </w:r>
      <w:r w:rsidR="00E04054">
        <w:rPr>
          <w:rFonts w:ascii="Times New Roman" w:hAnsi="Times New Roman"/>
          <w:sz w:val="24"/>
        </w:rPr>
        <w:t xml:space="preserve">el aislamiento, la ansiedad penitenciaria y </w:t>
      </w:r>
      <w:r>
        <w:rPr>
          <w:rFonts w:ascii="Times New Roman" w:hAnsi="Times New Roman"/>
          <w:sz w:val="24"/>
        </w:rPr>
        <w:t>el alto nivel de estrés</w:t>
      </w:r>
      <w:r>
        <w:rPr>
          <w:rFonts w:ascii="Times New Roman" w:hAnsi="Times New Roman"/>
          <w:sz w:val="24"/>
        </w:rPr>
        <w:t xml:space="preserve"> y la falta de atención médica</w:t>
      </w:r>
      <w:r>
        <w:rPr>
          <w:rFonts w:ascii="Times New Roman" w:hAnsi="Times New Roman"/>
          <w:sz w:val="24"/>
        </w:rPr>
        <w:t xml:space="preserve"> </w:t>
      </w:r>
      <w:r>
        <w:rPr>
          <w:rFonts w:ascii="Times New Roman" w:hAnsi="Times New Roman"/>
          <w:sz w:val="24"/>
        </w:rPr>
        <w:t xml:space="preserve">provocan </w:t>
      </w:r>
      <w:r w:rsidRPr="0098713F">
        <w:rPr>
          <w:rFonts w:ascii="Times New Roman" w:hAnsi="Times New Roman"/>
          <w:b/>
          <w:bCs/>
          <w:sz w:val="24"/>
        </w:rPr>
        <w:t>un</w:t>
      </w:r>
      <w:r w:rsidRPr="0098713F">
        <w:rPr>
          <w:rFonts w:ascii="Times New Roman" w:hAnsi="Times New Roman"/>
          <w:b/>
          <w:bCs/>
          <w:sz w:val="24"/>
        </w:rPr>
        <w:t xml:space="preserve"> envejecimiento acelerado de las víctimas</w:t>
      </w:r>
      <w:r w:rsidR="00E04054">
        <w:rPr>
          <w:rStyle w:val="Refdenotaalpie"/>
          <w:rFonts w:ascii="Times New Roman" w:hAnsi="Times New Roman"/>
          <w:sz w:val="24"/>
        </w:rPr>
        <w:footnoteReference w:id="36"/>
      </w:r>
      <w:r>
        <w:rPr>
          <w:rFonts w:ascii="Times New Roman" w:hAnsi="Times New Roman"/>
          <w:sz w:val="24"/>
        </w:rPr>
        <w:t>, quedando propensas a</w:t>
      </w:r>
      <w:r>
        <w:rPr>
          <w:rFonts w:ascii="Times New Roman" w:hAnsi="Times New Roman"/>
          <w:sz w:val="24"/>
        </w:rPr>
        <w:t xml:space="preserve">l </w:t>
      </w:r>
      <w:r>
        <w:rPr>
          <w:rFonts w:ascii="Times New Roman" w:hAnsi="Times New Roman"/>
          <w:sz w:val="24"/>
        </w:rPr>
        <w:t xml:space="preserve">deterioro cognitivo, enfermedades crónicas </w:t>
      </w:r>
      <w:proofErr w:type="gramStart"/>
      <w:r>
        <w:rPr>
          <w:rFonts w:ascii="Times New Roman" w:hAnsi="Times New Roman"/>
          <w:sz w:val="24"/>
        </w:rPr>
        <w:t xml:space="preserve">y </w:t>
      </w:r>
      <w:r w:rsidR="0098713F">
        <w:rPr>
          <w:rFonts w:ascii="Times New Roman" w:hAnsi="Times New Roman"/>
          <w:sz w:val="24"/>
        </w:rPr>
        <w:t xml:space="preserve"> a</w:t>
      </w:r>
      <w:proofErr w:type="gramEnd"/>
      <w:r w:rsidR="0098713F">
        <w:rPr>
          <w:rFonts w:ascii="Times New Roman" w:hAnsi="Times New Roman"/>
          <w:sz w:val="24"/>
        </w:rPr>
        <w:t xml:space="preserve"> </w:t>
      </w:r>
      <w:r>
        <w:rPr>
          <w:rFonts w:ascii="Times New Roman" w:hAnsi="Times New Roman"/>
          <w:sz w:val="24"/>
        </w:rPr>
        <w:t xml:space="preserve">distintos tipos </w:t>
      </w:r>
      <w:r>
        <w:rPr>
          <w:rFonts w:ascii="Times New Roman" w:hAnsi="Times New Roman"/>
          <w:sz w:val="24"/>
        </w:rPr>
        <w:t xml:space="preserve">de discapacidad. </w:t>
      </w:r>
    </w:p>
    <w:p w14:paraId="25BB3661" w14:textId="77777777" w:rsidR="00D55D36" w:rsidRDefault="005B5684" w:rsidP="004A3166">
      <w:pPr>
        <w:pStyle w:val="Ttulo1"/>
        <w:numPr>
          <w:ilvl w:val="0"/>
          <w:numId w:val="12"/>
        </w:numPr>
        <w:spacing w:before="0" w:after="120" w:line="240" w:lineRule="auto"/>
        <w:jc w:val="both"/>
        <w:rPr>
          <w:rFonts w:ascii="Times New Roman" w:eastAsia="Times New Roman" w:hAnsi="Times New Roman" w:cs="Times New Roman"/>
          <w:b/>
          <w:color w:val="000000"/>
          <w:sz w:val="24"/>
          <w:szCs w:val="24"/>
        </w:rPr>
      </w:pPr>
      <w:bookmarkStart w:id="24" w:name="_heading=h.1ci93xb" w:colFirst="0" w:colLast="0"/>
      <w:bookmarkStart w:id="25" w:name="_Toc203004173"/>
      <w:bookmarkEnd w:id="24"/>
      <w:r w:rsidRPr="007109A2">
        <w:rPr>
          <w:rFonts w:ascii="Times New Roman" w:hAnsi="Times New Roman"/>
          <w:b/>
          <w:color w:val="000000"/>
          <w:sz w:val="24"/>
        </w:rPr>
        <w:lastRenderedPageBreak/>
        <w:t>Fundamentación jurídica de la privación arbitraria de la libertad</w:t>
      </w:r>
      <w:bookmarkEnd w:id="25"/>
    </w:p>
    <w:p w14:paraId="1A21F1B8" w14:textId="785A4E9C" w:rsidR="00D55D36" w:rsidRDefault="005B5684" w:rsidP="00F50CC7">
      <w:pPr>
        <w:pStyle w:val="Ttulo2"/>
        <w:numPr>
          <w:ilvl w:val="0"/>
          <w:numId w:val="9"/>
        </w:numPr>
        <w:rPr>
          <w:rFonts w:ascii="Times New Roman" w:eastAsia="Times New Roman" w:hAnsi="Times New Roman" w:cs="Times New Roman"/>
          <w:color w:val="000000"/>
          <w:sz w:val="24"/>
          <w:szCs w:val="24"/>
          <w:u w:val="single"/>
        </w:rPr>
      </w:pPr>
      <w:bookmarkStart w:id="26" w:name="_heading=h.3whwml4" w:colFirst="0" w:colLast="0"/>
      <w:bookmarkStart w:id="27" w:name="_Toc203004174"/>
      <w:bookmarkEnd w:id="26"/>
      <w:r w:rsidRPr="007109A2">
        <w:rPr>
          <w:rFonts w:ascii="Times New Roman" w:hAnsi="Times New Roman"/>
          <w:color w:val="000000"/>
          <w:sz w:val="24"/>
          <w:u w:val="single"/>
        </w:rPr>
        <w:t>Incurrencia en la categoría I de los Métodos de Trabajo del Grupo</w:t>
      </w:r>
      <w:r w:rsidR="006967FC">
        <w:rPr>
          <w:rFonts w:ascii="Times New Roman" w:hAnsi="Times New Roman"/>
          <w:color w:val="000000"/>
          <w:sz w:val="24"/>
          <w:u w:val="single"/>
        </w:rPr>
        <w:t xml:space="preserve"> de Trabajo sobre Detención Arbitraria de Naciones Unidas (GTDA)</w:t>
      </w:r>
      <w:bookmarkEnd w:id="27"/>
    </w:p>
    <w:p w14:paraId="2342E874" w14:textId="218D00AF"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t>El Grupo de Trabajo ha sostenido que la privación de libertad se inscribe en la categoría I de la detención arbitraria si carece de fundamento jurídico. En ese sentido, toda forma de detención o prisión deberá ser ordenada por un juez u otra autoridad establecida por ley de conformidad con el principio 4 del Conjunto de Principios para la Protección de Todas las Personas Sometidas a Cualquier Forma de Detención o Prisión</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w:t>
      </w:r>
    </w:p>
    <w:p w14:paraId="58DC5DFD" w14:textId="7B4D33B6"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t>De acuerdo con el Comité de Derechos Humanos (en adelante “Comité”), un plazo de 48 horas (como también lo establece el artículo 33 de la Constitución Política de Nicaragua</w:t>
      </w:r>
      <w:r>
        <w:rPr>
          <w:rFonts w:ascii="Times New Roman" w:eastAsia="Times New Roman" w:hAnsi="Times New Roman" w:cs="Times New Roman"/>
          <w:sz w:val="24"/>
          <w:szCs w:val="24"/>
          <w:vertAlign w:val="superscript"/>
        </w:rPr>
        <w:footnoteReference w:id="38"/>
      </w:r>
      <w:r w:rsidRPr="007109A2">
        <w:rPr>
          <w:rFonts w:ascii="Times New Roman" w:hAnsi="Times New Roman"/>
          <w:sz w:val="24"/>
        </w:rPr>
        <w:t>) es normalmente suficiente para cumplir el requisito de llevar a la persona detenida “sin demora” ante un juez después de su detención, y todo plazo superior deberá obedecer a circunstancias excepcionales y estar justificado por ellas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w:t>
      </w:r>
    </w:p>
    <w:p w14:paraId="190EA76D" w14:textId="61E6A193" w:rsidR="00D55D36" w:rsidRDefault="006D6C10"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Según</w:t>
      </w:r>
      <w:r w:rsidR="005B5684" w:rsidRPr="007109A2">
        <w:rPr>
          <w:rFonts w:ascii="Times New Roman" w:hAnsi="Times New Roman"/>
          <w:sz w:val="24"/>
        </w:rPr>
        <w:t xml:space="preserve"> dichos estándares, los arrestos en contra de las nueve víctimas fueron ilegales, ya que, </w:t>
      </w:r>
      <w:r w:rsidR="005B5684" w:rsidRPr="007109A2">
        <w:rPr>
          <w:rFonts w:ascii="Times New Roman" w:hAnsi="Times New Roman"/>
          <w:i/>
          <w:sz w:val="24"/>
        </w:rPr>
        <w:t>prima facie,</w:t>
      </w:r>
      <w:r w:rsidR="005B5684" w:rsidRPr="007109A2">
        <w:rPr>
          <w:rFonts w:ascii="Times New Roman" w:hAnsi="Times New Roman"/>
          <w:sz w:val="24"/>
        </w:rPr>
        <w:t xml:space="preserve"> </w:t>
      </w:r>
      <w:r>
        <w:rPr>
          <w:rFonts w:ascii="Times New Roman" w:hAnsi="Times New Roman"/>
          <w:sz w:val="24"/>
        </w:rPr>
        <w:t>no</w:t>
      </w:r>
      <w:r w:rsidR="005B5684" w:rsidRPr="007109A2">
        <w:rPr>
          <w:rFonts w:ascii="Times New Roman" w:hAnsi="Times New Roman"/>
          <w:sz w:val="24"/>
        </w:rPr>
        <w:t xml:space="preserve"> se le</w:t>
      </w:r>
      <w:r>
        <w:rPr>
          <w:rFonts w:ascii="Times New Roman" w:hAnsi="Times New Roman"/>
          <w:sz w:val="24"/>
        </w:rPr>
        <w:t>s</w:t>
      </w:r>
      <w:r w:rsidR="005B5684" w:rsidRPr="007109A2">
        <w:rPr>
          <w:rFonts w:ascii="Times New Roman" w:hAnsi="Times New Roman"/>
          <w:sz w:val="24"/>
        </w:rPr>
        <w:t xml:space="preserve"> presentó una orden judicial</w:t>
      </w:r>
      <w:r>
        <w:rPr>
          <w:rFonts w:ascii="Times New Roman" w:hAnsi="Times New Roman"/>
          <w:sz w:val="24"/>
        </w:rPr>
        <w:t xml:space="preserve"> y </w:t>
      </w:r>
      <w:r w:rsidR="005B5684" w:rsidRPr="007109A2">
        <w:rPr>
          <w:rFonts w:ascii="Times New Roman" w:hAnsi="Times New Roman"/>
          <w:sz w:val="24"/>
        </w:rPr>
        <w:t>ninguna de las víctimas fue puesta a la orden de una autoridad judicial en el plazo de 48 horas luego de su detención para ser acusadas y revisar la legalidad de la detención.</w:t>
      </w:r>
    </w:p>
    <w:p w14:paraId="6239C561" w14:textId="7AFAA5F6" w:rsidR="00D55D36" w:rsidRDefault="006D6C10" w:rsidP="007B7A01">
      <w:pPr>
        <w:spacing w:after="120" w:line="240" w:lineRule="auto"/>
        <w:jc w:val="both"/>
        <w:rPr>
          <w:rFonts w:ascii="Times New Roman" w:eastAsia="Times New Roman" w:hAnsi="Times New Roman" w:cs="Times New Roman"/>
          <w:sz w:val="24"/>
          <w:szCs w:val="24"/>
        </w:rPr>
      </w:pPr>
      <w:bookmarkStart w:id="28" w:name="_heading=h.2bn6wsx" w:colFirst="0" w:colLast="0"/>
      <w:bookmarkEnd w:id="28"/>
      <w:r>
        <w:rPr>
          <w:rFonts w:ascii="Times New Roman" w:hAnsi="Times New Roman"/>
          <w:sz w:val="24"/>
        </w:rPr>
        <w:t>C</w:t>
      </w:r>
      <w:r w:rsidR="005B5684" w:rsidRPr="007109A2">
        <w:rPr>
          <w:rFonts w:ascii="Times New Roman" w:hAnsi="Times New Roman" w:cs="Times New Roman"/>
          <w:sz w:val="24"/>
          <w:szCs w:val="24"/>
        </w:rPr>
        <w:t>omo se indicó</w:t>
      </w:r>
      <w:r>
        <w:rPr>
          <w:rFonts w:ascii="Times New Roman" w:hAnsi="Times New Roman" w:cs="Times New Roman"/>
          <w:sz w:val="24"/>
          <w:szCs w:val="24"/>
        </w:rPr>
        <w:t>,</w:t>
      </w:r>
      <w:r w:rsidR="005B5684" w:rsidRPr="007109A2">
        <w:rPr>
          <w:rFonts w:ascii="Times New Roman" w:hAnsi="Times New Roman"/>
          <w:sz w:val="24"/>
        </w:rPr>
        <w:t xml:space="preserve"> el señor Walter Balmaceda fue detenido el 22 de julio de 2014 </w:t>
      </w:r>
      <w:r>
        <w:rPr>
          <w:rFonts w:ascii="Times New Roman" w:hAnsi="Times New Roman"/>
          <w:sz w:val="24"/>
        </w:rPr>
        <w:t>y</w:t>
      </w:r>
      <w:r w:rsidR="005B5684" w:rsidRPr="007109A2">
        <w:rPr>
          <w:rFonts w:ascii="Times New Roman" w:hAnsi="Times New Roman"/>
          <w:sz w:val="24"/>
        </w:rPr>
        <w:t xml:space="preserve"> presentado ante el judicial hasta el 26 de julio de 2014</w:t>
      </w:r>
      <w:r>
        <w:rPr>
          <w:rFonts w:ascii="Times New Roman" w:hAnsi="Times New Roman"/>
          <w:sz w:val="24"/>
        </w:rPr>
        <w:t>;</w:t>
      </w:r>
      <w:r w:rsidR="005B5684" w:rsidRPr="007109A2">
        <w:rPr>
          <w:rFonts w:ascii="Times New Roman" w:hAnsi="Times New Roman"/>
          <w:sz w:val="24"/>
        </w:rPr>
        <w:t xml:space="preserve"> los señores José Cortez (detenido el 25 de julio de 2014), José Meza (detenido el 26 de julio de 2014), Eddy Gutiérrez (detenido el 26 de julio de 2014), Zacarias Cano (detenido el 26 de julio de 2014), Rosendo Huerta (detenido el 30 de julio de 2014), Leonel Poveda (detenido el 1 de agosto de 2014), Wilfredo Balmaceda (detenido el 2 de agosto de 2014), y Jairo Obando (detenido el 3 de agosto de 2014), fueron llevados ante el juez a la audiencia preliminar hasta el 13 de agosto de 2014. Según la Corte IDH “cualquier requisito establecido en la ley nacional que no sea cumplido al privar a una persona de su libertad, haría que esa privación sea ilegal</w:t>
      </w:r>
      <w:r w:rsidR="005B5684">
        <w:rPr>
          <w:rFonts w:ascii="Times New Roman" w:eastAsia="Times New Roman" w:hAnsi="Times New Roman" w:cs="Times New Roman"/>
          <w:sz w:val="24"/>
          <w:szCs w:val="24"/>
        </w:rPr>
        <w:t>”</w:t>
      </w:r>
      <w:r w:rsidR="005B5684">
        <w:rPr>
          <w:rFonts w:ascii="Times New Roman" w:eastAsia="Times New Roman" w:hAnsi="Times New Roman" w:cs="Times New Roman"/>
          <w:sz w:val="24"/>
          <w:szCs w:val="24"/>
          <w:vertAlign w:val="superscript"/>
        </w:rPr>
        <w:footnoteReference w:id="40"/>
      </w:r>
      <w:r w:rsidR="005B5684">
        <w:rPr>
          <w:rFonts w:ascii="Times New Roman" w:eastAsia="Times New Roman" w:hAnsi="Times New Roman" w:cs="Times New Roman"/>
          <w:sz w:val="24"/>
          <w:szCs w:val="24"/>
        </w:rPr>
        <w:t>,</w:t>
      </w:r>
      <w:r w:rsidR="005B5684" w:rsidRPr="007109A2">
        <w:rPr>
          <w:rFonts w:ascii="Times New Roman" w:hAnsi="Times New Roman"/>
          <w:sz w:val="24"/>
        </w:rPr>
        <w:t xml:space="preserve"> tal como fue no presentar a las nueve víctimas en el plazo de 48 horas ante la autoridad judicial.</w:t>
      </w:r>
    </w:p>
    <w:p w14:paraId="5D5610B3" w14:textId="0CB4BC58"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t>Por otra parte, el GTDA ha sostenido que “la reclusión en régimen de incomunicación vulnera el derecho a impugnar la legalidad de la privación de libertad ante un tribunal, consagrado en el artículo 9, párrafo 4, del Pacto</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w:t>
      </w:r>
      <w:r w:rsidRPr="007109A2">
        <w:rPr>
          <w:rFonts w:ascii="Times New Roman" w:hAnsi="Times New Roman"/>
          <w:sz w:val="24"/>
        </w:rPr>
        <w:t xml:space="preserve"> es necesario que se garantice la comunicación con un abogado desde el inicio de su reclusión</w:t>
      </w:r>
      <w:r>
        <w:rPr>
          <w:rFonts w:ascii="Times New Roman" w:eastAsia="Times New Roman" w:hAnsi="Times New Roman" w:cs="Times New Roman"/>
          <w:sz w:val="24"/>
          <w:szCs w:val="24"/>
          <w:vertAlign w:val="superscript"/>
        </w:rPr>
        <w:footnoteReference w:id="42"/>
      </w:r>
      <w:r w:rsidRPr="007109A2">
        <w:rPr>
          <w:rFonts w:ascii="Times New Roman" w:hAnsi="Times New Roman"/>
          <w:sz w:val="24"/>
        </w:rPr>
        <w:t xml:space="preserve">.  </w:t>
      </w:r>
      <w:r w:rsidR="006D6C10">
        <w:rPr>
          <w:rFonts w:ascii="Times New Roman" w:hAnsi="Times New Roman"/>
          <w:sz w:val="24"/>
        </w:rPr>
        <w:t>E</w:t>
      </w:r>
      <w:r w:rsidRPr="007109A2">
        <w:rPr>
          <w:rFonts w:ascii="Times New Roman" w:hAnsi="Times New Roman"/>
          <w:sz w:val="24"/>
        </w:rPr>
        <w:t xml:space="preserve">l Grupo ha enfatizado que cuando un Estado se niega a revelar </w:t>
      </w:r>
      <w:r w:rsidR="006D6C10">
        <w:rPr>
          <w:rFonts w:ascii="Times New Roman" w:hAnsi="Times New Roman"/>
          <w:sz w:val="24"/>
        </w:rPr>
        <w:t>el</w:t>
      </w:r>
      <w:r w:rsidRPr="007109A2">
        <w:rPr>
          <w:rFonts w:ascii="Times New Roman" w:hAnsi="Times New Roman"/>
          <w:sz w:val="24"/>
        </w:rPr>
        <w:t xml:space="preserve"> paradero de una persona constituye una desaparición forzada</w:t>
      </w:r>
      <w:r>
        <w:rPr>
          <w:rFonts w:ascii="Times New Roman" w:eastAsia="Times New Roman" w:hAnsi="Times New Roman" w:cs="Times New Roman"/>
          <w:sz w:val="24"/>
          <w:szCs w:val="24"/>
          <w:vertAlign w:val="superscript"/>
        </w:rPr>
        <w:footnoteReference w:id="43"/>
      </w:r>
      <w:r w:rsidRPr="007109A2">
        <w:rPr>
          <w:rFonts w:ascii="Times New Roman" w:hAnsi="Times New Roman"/>
          <w:sz w:val="24"/>
        </w:rPr>
        <w:t>. Así, “las desapariciones forzadas vulneran muchas disposiciones sustantivas y de procedimiento del Pacto […] y constituyen una forma grave de detención arbitraria</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w:t>
      </w:r>
    </w:p>
    <w:p w14:paraId="49CB8389" w14:textId="10B45F93"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lastRenderedPageBreak/>
        <w:t>Así, las detenciones de las nueve víctimas también fueron ilegales porque todas estuvieron en desaparición forzada e incomunicados (incluyendo sin acceso a abogados) durante varios días a partir de su detención, tiempo durante el cual fueron torturados (</w:t>
      </w:r>
      <w:proofErr w:type="spellStart"/>
      <w:r w:rsidRPr="007109A2">
        <w:rPr>
          <w:rFonts w:ascii="Times New Roman" w:hAnsi="Times New Roman"/>
          <w:sz w:val="24"/>
        </w:rPr>
        <w:t>párrs</w:t>
      </w:r>
      <w:proofErr w:type="spellEnd"/>
      <w:r w:rsidRPr="007109A2">
        <w:rPr>
          <w:rFonts w:ascii="Times New Roman" w:hAnsi="Times New Roman"/>
          <w:sz w:val="24"/>
        </w:rPr>
        <w:t xml:space="preserve">. 30-31 </w:t>
      </w:r>
      <w:r w:rsidRPr="007109A2">
        <w:rPr>
          <w:rFonts w:ascii="Times New Roman" w:hAnsi="Times New Roman"/>
          <w:i/>
          <w:sz w:val="24"/>
        </w:rPr>
        <w:t>supra</w:t>
      </w:r>
      <w:r w:rsidRPr="007109A2">
        <w:rPr>
          <w:rFonts w:ascii="Times New Roman" w:hAnsi="Times New Roman"/>
          <w:sz w:val="24"/>
        </w:rPr>
        <w:t>).</w:t>
      </w:r>
    </w:p>
    <w:p w14:paraId="1F81F6D0" w14:textId="7D4DAE30"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t xml:space="preserve">En cuanto a José Meza, la ilegalidad de </w:t>
      </w:r>
      <w:r w:rsidR="007C282E" w:rsidRPr="007109A2">
        <w:rPr>
          <w:rFonts w:ascii="Times New Roman" w:hAnsi="Times New Roman"/>
          <w:sz w:val="24"/>
        </w:rPr>
        <w:t>detención</w:t>
      </w:r>
      <w:r w:rsidRPr="007109A2">
        <w:rPr>
          <w:rFonts w:ascii="Times New Roman" w:hAnsi="Times New Roman"/>
          <w:sz w:val="24"/>
        </w:rPr>
        <w:t xml:space="preserve"> se potencializa toda vez las autoridades no lo libera</w:t>
      </w:r>
      <w:r w:rsidR="007C282E" w:rsidRPr="007109A2">
        <w:rPr>
          <w:rFonts w:ascii="Times New Roman" w:hAnsi="Times New Roman"/>
          <w:sz w:val="24"/>
        </w:rPr>
        <w:t>n</w:t>
      </w:r>
      <w:r w:rsidRPr="007109A2">
        <w:rPr>
          <w:rFonts w:ascii="Times New Roman" w:hAnsi="Times New Roman"/>
          <w:sz w:val="24"/>
        </w:rPr>
        <w:t xml:space="preserve"> </w:t>
      </w:r>
      <w:r w:rsidR="007C282E" w:rsidRPr="007109A2">
        <w:rPr>
          <w:rFonts w:ascii="Times New Roman" w:hAnsi="Times New Roman"/>
          <w:sz w:val="24"/>
        </w:rPr>
        <w:t>pese</w:t>
      </w:r>
      <w:r w:rsidRPr="007109A2">
        <w:rPr>
          <w:rFonts w:ascii="Times New Roman" w:hAnsi="Times New Roman"/>
          <w:sz w:val="24"/>
        </w:rPr>
        <w:t xml:space="preserve"> de haber cumplido su injusta condena de 10 años el 27 de julio de 2014. La misma legislación nicaragüense en el art. 14 de la Ley No. 745 indica que “la privación de libertad que exceda del plazo de la sanción impuesta, cuando se trate de efectiva prisión, considerando la aplicación de los beneficios penitenciarios, constituye una </w:t>
      </w:r>
      <w:r w:rsidRPr="007109A2">
        <w:rPr>
          <w:rFonts w:ascii="Times New Roman" w:hAnsi="Times New Roman"/>
          <w:b/>
          <w:sz w:val="24"/>
        </w:rPr>
        <w:t>detención ilegítima</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w:t>
      </w:r>
    </w:p>
    <w:p w14:paraId="3935FDFC" w14:textId="6382C82E" w:rsidR="00D55D36" w:rsidRPr="00F50CC7" w:rsidRDefault="005B5684" w:rsidP="00F50CC7">
      <w:pPr>
        <w:pStyle w:val="Prrafodelista"/>
        <w:numPr>
          <w:ilvl w:val="0"/>
          <w:numId w:val="9"/>
        </w:numPr>
        <w:pBdr>
          <w:top w:val="nil"/>
          <w:left w:val="nil"/>
          <w:bottom w:val="nil"/>
          <w:right w:val="nil"/>
          <w:between w:val="nil"/>
        </w:pBdr>
        <w:spacing w:after="120" w:line="240" w:lineRule="auto"/>
        <w:jc w:val="both"/>
        <w:outlineLvl w:val="1"/>
        <w:rPr>
          <w:rFonts w:ascii="Times New Roman" w:eastAsia="Times New Roman" w:hAnsi="Times New Roman" w:cs="Times New Roman"/>
          <w:color w:val="000000"/>
          <w:sz w:val="24"/>
          <w:szCs w:val="24"/>
          <w:u w:val="single"/>
        </w:rPr>
      </w:pPr>
      <w:bookmarkStart w:id="29" w:name="_heading=h.2s8eyo1" w:colFirst="0" w:colLast="0"/>
      <w:bookmarkStart w:id="30" w:name="_heading=h.qsh70q" w:colFirst="0" w:colLast="0"/>
      <w:bookmarkStart w:id="31" w:name="_Toc203004175"/>
      <w:bookmarkEnd w:id="29"/>
      <w:bookmarkEnd w:id="30"/>
      <w:r w:rsidRPr="00F50CC7">
        <w:rPr>
          <w:rFonts w:ascii="Times New Roman" w:hAnsi="Times New Roman"/>
          <w:color w:val="000000"/>
          <w:sz w:val="24"/>
          <w:u w:val="single"/>
        </w:rPr>
        <w:t xml:space="preserve">Incurrencia en las categorías II y V de los Métodos de Trabajo del </w:t>
      </w:r>
      <w:r w:rsidR="006967FC" w:rsidRPr="00F50CC7">
        <w:rPr>
          <w:rFonts w:ascii="Times New Roman" w:hAnsi="Times New Roman"/>
          <w:color w:val="000000"/>
          <w:sz w:val="24"/>
          <w:u w:val="single"/>
        </w:rPr>
        <w:t>GTDA</w:t>
      </w:r>
      <w:bookmarkEnd w:id="31"/>
    </w:p>
    <w:p w14:paraId="675D71C7" w14:textId="301A38EA" w:rsidR="00D55D36" w:rsidRDefault="005B5684" w:rsidP="007B7A01">
      <w:pPr>
        <w:spacing w:after="120" w:line="240" w:lineRule="auto"/>
        <w:jc w:val="both"/>
        <w:rPr>
          <w:rFonts w:ascii="Times New Roman" w:eastAsia="Times New Roman" w:hAnsi="Times New Roman" w:cs="Times New Roman"/>
          <w:sz w:val="24"/>
          <w:szCs w:val="24"/>
        </w:rPr>
      </w:pPr>
      <w:r w:rsidRPr="007109A2">
        <w:rPr>
          <w:rFonts w:ascii="Times New Roman" w:hAnsi="Times New Roman"/>
          <w:sz w:val="24"/>
        </w:rPr>
        <w:t xml:space="preserve">En la presente denuncia, estas categorías son invocada por ser las privaciones de libertad </w:t>
      </w:r>
      <w:r w:rsidRPr="007109A2">
        <w:rPr>
          <w:rFonts w:ascii="Times New Roman" w:hAnsi="Times New Roman"/>
          <w:i/>
          <w:sz w:val="24"/>
        </w:rPr>
        <w:t>sub examine</w:t>
      </w:r>
      <w:r w:rsidRPr="00E03434">
        <w:rPr>
          <w:rFonts w:ascii="Times New Roman" w:hAnsi="Times New Roman"/>
          <w:sz w:val="24"/>
        </w:rPr>
        <w:t xml:space="preserve"> en detrimento del derecho al libre pensamiento y creencia protegido por los artículos 18 del Pacto y 18 de la DUDH y al principio de igualdad y a no ser discriminado por motivos políticos protegido en los artículos 26 del Pacto y 7 de la DUDH.</w:t>
      </w:r>
    </w:p>
    <w:p w14:paraId="06E2D935" w14:textId="635023A5"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color w:val="000000"/>
          <w:sz w:val="24"/>
        </w:rPr>
        <w:t xml:space="preserve">Respecto al derecho a la libertad de pensamiento y creencias, el Comité ha manifestado que, cuando un conjunto de creencias sea considerado como la ideología oficial de </w:t>
      </w:r>
      <w:r w:rsidRPr="00E03434">
        <w:rPr>
          <w:rFonts w:ascii="Times New Roman" w:hAnsi="Times New Roman"/>
          <w:i/>
          <w:color w:val="000000"/>
          <w:sz w:val="24"/>
        </w:rPr>
        <w:t>iure</w:t>
      </w:r>
      <w:r w:rsidRPr="00E03434">
        <w:rPr>
          <w:rFonts w:ascii="Times New Roman" w:hAnsi="Times New Roman"/>
          <w:color w:val="000000"/>
          <w:sz w:val="24"/>
        </w:rPr>
        <w:t xml:space="preserve"> o de</w:t>
      </w:r>
      <w:r w:rsidRPr="00E03434">
        <w:rPr>
          <w:rFonts w:ascii="Times New Roman" w:hAnsi="Times New Roman"/>
          <w:i/>
          <w:color w:val="000000"/>
          <w:sz w:val="24"/>
        </w:rPr>
        <w:t xml:space="preserve"> facto</w:t>
      </w:r>
      <w:r w:rsidRPr="00E03434">
        <w:rPr>
          <w:rFonts w:ascii="Times New Roman" w:hAnsi="Times New Roman"/>
          <w:color w:val="000000"/>
          <w:sz w:val="24"/>
        </w:rPr>
        <w:t>, “esto no tendrá como consecuencia ningún menoscabo de las libertades consignadas en el artículo 18 ni de ningún otro de los derechos reconocidos en el Pacto, ni ningún tipo de discriminación contra las personas que no suscriban la ideología oficial o se opongan a ella</w:t>
      </w:r>
      <w: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46"/>
      </w:r>
      <w:r>
        <w:rPr>
          <w:rFonts w:ascii="Times New Roman" w:eastAsia="Times New Roman" w:hAnsi="Times New Roman" w:cs="Times New Roman"/>
          <w:color w:val="000000"/>
          <w:sz w:val="24"/>
          <w:szCs w:val="24"/>
        </w:rPr>
        <w:t xml:space="preserve">. </w:t>
      </w:r>
    </w:p>
    <w:p w14:paraId="47B367AC" w14:textId="3C92BB42" w:rsidR="00D55D36" w:rsidRDefault="009C6281"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w:t>
      </w:r>
      <w:r w:rsidR="005B5684" w:rsidRPr="00E03434">
        <w:rPr>
          <w:rFonts w:ascii="Times New Roman" w:hAnsi="Times New Roman"/>
          <w:color w:val="000000"/>
          <w:sz w:val="24"/>
        </w:rPr>
        <w:t>as detenciones de todas las víctimas de esta comunicación son arbitrarias, pues han sido en represalia discriminatoria a su ideología y opinión política por ser contraria a los intereses del gobierno de</w:t>
      </w:r>
      <w:r w:rsidR="00365C9B">
        <w:rPr>
          <w:rFonts w:ascii="Times New Roman" w:hAnsi="Times New Roman"/>
          <w:color w:val="000000"/>
          <w:sz w:val="24"/>
        </w:rPr>
        <w:t>l país</w:t>
      </w:r>
      <w:r w:rsidR="005B5684" w:rsidRPr="00E03434">
        <w:rPr>
          <w:rFonts w:ascii="Times New Roman" w:hAnsi="Times New Roman"/>
          <w:color w:val="000000"/>
          <w:sz w:val="24"/>
        </w:rPr>
        <w:t>, ya que las nueve víctimas eran l</w:t>
      </w:r>
      <w:r w:rsidR="005B5684" w:rsidRPr="00E03434">
        <w:rPr>
          <w:rFonts w:ascii="Times New Roman" w:hAnsi="Times New Roman"/>
          <w:sz w:val="24"/>
        </w:rPr>
        <w:t>í</w:t>
      </w:r>
      <w:r w:rsidR="005B5684" w:rsidRPr="00E03434">
        <w:rPr>
          <w:rFonts w:ascii="Times New Roman" w:hAnsi="Times New Roman"/>
          <w:color w:val="000000"/>
          <w:sz w:val="24"/>
        </w:rPr>
        <w:t xml:space="preserve">deres liberales comunitarios desde hace décadas. </w:t>
      </w:r>
      <w:r w:rsidR="00365C9B">
        <w:rPr>
          <w:rFonts w:ascii="Times New Roman" w:hAnsi="Times New Roman"/>
          <w:color w:val="000000"/>
          <w:sz w:val="24"/>
        </w:rPr>
        <w:t>N</w:t>
      </w:r>
      <w:r w:rsidR="005B5684" w:rsidRPr="00E03434">
        <w:rPr>
          <w:rFonts w:ascii="Times New Roman" w:hAnsi="Times New Roman"/>
          <w:color w:val="000000"/>
          <w:sz w:val="24"/>
        </w:rPr>
        <w:t>uestros representados son considerados por la sociedad civil nicaragüense como las primeras personas privadas de la libertad por motivos políticos del gobierno de Daniel Ortega</w:t>
      </w:r>
      <w:r w:rsidR="005B5684">
        <w:t>.</w:t>
      </w:r>
      <w:r w:rsidR="005B5684">
        <w:rPr>
          <w:rFonts w:ascii="Times New Roman" w:eastAsia="Times New Roman" w:hAnsi="Times New Roman" w:cs="Times New Roman"/>
          <w:color w:val="000000"/>
          <w:sz w:val="24"/>
          <w:szCs w:val="24"/>
          <w:vertAlign w:val="superscript"/>
        </w:rPr>
        <w:footnoteReference w:id="47"/>
      </w:r>
      <w:r w:rsidR="005B5684">
        <w:rPr>
          <w:rFonts w:ascii="Times New Roman" w:eastAsia="Times New Roman" w:hAnsi="Times New Roman" w:cs="Times New Roman"/>
          <w:color w:val="000000"/>
          <w:sz w:val="24"/>
          <w:szCs w:val="24"/>
        </w:rPr>
        <w:t xml:space="preserve">.  </w:t>
      </w:r>
    </w:p>
    <w:p w14:paraId="489D0BC6" w14:textId="0CC8CF72"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R</w:t>
      </w:r>
      <w:r w:rsidRPr="00E03434">
        <w:rPr>
          <w:rFonts w:ascii="Times New Roman" w:hAnsi="Times New Roman"/>
          <w:color w:val="000000"/>
          <w:sz w:val="24"/>
        </w:rPr>
        <w:t xml:space="preserve">esaltamos que </w:t>
      </w:r>
      <w:r w:rsidRPr="00E03434">
        <w:rPr>
          <w:rFonts w:ascii="Times New Roman" w:hAnsi="Times New Roman"/>
          <w:sz w:val="24"/>
        </w:rPr>
        <w:t xml:space="preserve">este tipo de práctica de privación de libertad por razones políticas no es </w:t>
      </w:r>
      <w:proofErr w:type="gramStart"/>
      <w:r w:rsidRPr="00E03434">
        <w:rPr>
          <w:rFonts w:ascii="Times New Roman" w:hAnsi="Times New Roman"/>
          <w:sz w:val="24"/>
        </w:rPr>
        <w:t>aislada</w:t>
      </w:r>
      <w:proofErr w:type="gramEnd"/>
      <w:r w:rsidRPr="00E03434">
        <w:rPr>
          <w:rFonts w:ascii="Times New Roman" w:hAnsi="Times New Roman"/>
          <w:sz w:val="24"/>
        </w:rPr>
        <w:t>, sino que es una práctica estatal sistemática y generalizada cometida “en el marco de una campaña discriminatoria por motivos políticos, instrumentada desde las más altas esferas del Gobierno Ortega-</w:t>
      </w:r>
      <w:proofErr w:type="gramStart"/>
      <w:r w:rsidRPr="00E03434">
        <w:rPr>
          <w:rFonts w:ascii="Times New Roman" w:hAnsi="Times New Roman"/>
          <w:sz w:val="24"/>
        </w:rPr>
        <w:t>Murillo</w:t>
      </w:r>
      <w:r>
        <w:t>“</w:t>
      </w:r>
      <w:proofErr w:type="gram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w:t>
      </w:r>
      <w:r w:rsidRPr="00E03434">
        <w:rPr>
          <w:rFonts w:ascii="Times New Roman" w:hAnsi="Times New Roman"/>
          <w:sz w:val="24"/>
        </w:rPr>
        <w:t xml:space="preserve"> Para el GHREN las detenciones por motivos políticos en Nicaragua se han llevado “a cabo deliberadamente con la intención de discriminar sobre la base de la identidad de las víctimas como personas opositoras o percibidas como tales”</w:t>
      </w:r>
      <w:r>
        <w:rPr>
          <w:rFonts w:ascii="Times New Roman" w:eastAsia="Times New Roman" w:hAnsi="Times New Roman" w:cs="Times New Roman"/>
          <w:sz w:val="24"/>
          <w:szCs w:val="24"/>
          <w:vertAlign w:val="superscript"/>
        </w:rPr>
        <w:footnoteReference w:id="49"/>
      </w:r>
      <w:r w:rsidRPr="00E03434">
        <w:rPr>
          <w:rFonts w:ascii="Times New Roman" w:hAnsi="Times New Roman"/>
          <w:sz w:val="24"/>
        </w:rPr>
        <w:t xml:space="preserve"> (como las nueve víctimas de este caso). A su vez, el GHREN ha calificado este tipo de práctica como crímenes de encarcelación y de persecución parte de los crímenes de lesa humanidad</w:t>
      </w:r>
      <w:r>
        <w:rPr>
          <w:rFonts w:ascii="Times New Roman" w:eastAsia="Times New Roman" w:hAnsi="Times New Roman" w:cs="Times New Roman"/>
          <w:sz w:val="24"/>
          <w:szCs w:val="24"/>
          <w:vertAlign w:val="superscript"/>
        </w:rPr>
        <w:footnoteReference w:id="50"/>
      </w:r>
      <w:r w:rsidRPr="00E03434">
        <w:rPr>
          <w:rFonts w:ascii="Times New Roman" w:hAnsi="Times New Roman"/>
          <w:sz w:val="24"/>
        </w:rPr>
        <w:t>.</w:t>
      </w:r>
    </w:p>
    <w:p w14:paraId="4BD9800C" w14:textId="50B50D8E" w:rsidR="00D55D36" w:rsidRDefault="00F17257"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Pr>
          <w:rFonts w:ascii="Times New Roman" w:hAnsi="Times New Roman"/>
          <w:sz w:val="24"/>
        </w:rPr>
        <w:t xml:space="preserve">Es </w:t>
      </w:r>
      <w:r w:rsidR="005B5684" w:rsidRPr="00E03434">
        <w:rPr>
          <w:rFonts w:ascii="Times New Roman" w:hAnsi="Times New Roman"/>
          <w:sz w:val="24"/>
        </w:rPr>
        <w:t xml:space="preserve">importante sostener que, si bien nuestros representados fueron detenidos años previos al estallido social de 2018 que dio lugar a una crisis de derechos humanos sin precedentes en Nicaragua, </w:t>
      </w:r>
      <w:r w:rsidR="005B5684" w:rsidRPr="00E03434">
        <w:rPr>
          <w:rFonts w:ascii="Times New Roman" w:hAnsi="Times New Roman"/>
          <w:b/>
          <w:sz w:val="24"/>
        </w:rPr>
        <w:t>su caso es un antecedente nocivo para la justicia y la falta de independencia judicial en el país</w:t>
      </w:r>
      <w:r w:rsidR="005B5684" w:rsidRPr="00E03434">
        <w:rPr>
          <w:rFonts w:ascii="Times New Roman" w:hAnsi="Times New Roman"/>
          <w:sz w:val="24"/>
        </w:rPr>
        <w:t xml:space="preserve">. </w:t>
      </w:r>
      <w:r>
        <w:rPr>
          <w:rFonts w:ascii="Times New Roman" w:hAnsi="Times New Roman"/>
          <w:sz w:val="24"/>
        </w:rPr>
        <w:t>S</w:t>
      </w:r>
      <w:r w:rsidR="005B5684" w:rsidRPr="00E03434">
        <w:rPr>
          <w:rFonts w:ascii="Times New Roman" w:hAnsi="Times New Roman"/>
          <w:sz w:val="24"/>
        </w:rPr>
        <w:t xml:space="preserve">u detención por motivos políticos es una antesala de lo que en 2018 se </w:t>
      </w:r>
      <w:r w:rsidR="005B5684" w:rsidRPr="00E03434">
        <w:rPr>
          <w:rFonts w:ascii="Times New Roman" w:hAnsi="Times New Roman"/>
          <w:sz w:val="24"/>
        </w:rPr>
        <w:lastRenderedPageBreak/>
        <w:t xml:space="preserve">empezaría a generalizar por todo el país. </w:t>
      </w:r>
      <w:r w:rsidRPr="001F0BEC">
        <w:rPr>
          <w:rFonts w:ascii="Times New Roman" w:hAnsi="Times New Roman"/>
          <w:b/>
          <w:bCs/>
          <w:sz w:val="24"/>
        </w:rPr>
        <w:t xml:space="preserve">El </w:t>
      </w:r>
      <w:r w:rsidR="005B5684" w:rsidRPr="001F0BEC">
        <w:rPr>
          <w:rFonts w:ascii="Times New Roman" w:hAnsi="Times New Roman"/>
          <w:b/>
          <w:bCs/>
          <w:sz w:val="24"/>
        </w:rPr>
        <w:t>jefe policial encargado de torturar a las nueve víctimas en el 2014 en el Chipote fue Ramón Avellán</w:t>
      </w:r>
      <w:r w:rsidR="005B5684" w:rsidRPr="00E03434">
        <w:rPr>
          <w:rFonts w:ascii="Times New Roman" w:hAnsi="Times New Roman"/>
          <w:sz w:val="24"/>
        </w:rPr>
        <w:t>, quien a partir de 2018 fue reconocido como torturador de presos políticos y el asesino de decenas de protestantes antigubernamentales en ese año</w:t>
      </w:r>
      <w:r w:rsidR="005B5684">
        <w:rPr>
          <w:rFonts w:ascii="Times New Roman" w:eastAsia="Times New Roman" w:hAnsi="Times New Roman" w:cs="Times New Roman"/>
          <w:vertAlign w:val="superscript"/>
        </w:rPr>
        <w:footnoteReference w:id="51"/>
      </w:r>
      <w:r w:rsidR="005B5684" w:rsidRPr="00E03434">
        <w:rPr>
          <w:rFonts w:ascii="Times New Roman" w:hAnsi="Times New Roman"/>
          <w:sz w:val="24"/>
        </w:rPr>
        <w:t xml:space="preserve">. </w:t>
      </w:r>
      <w:r w:rsidRPr="001F0BEC">
        <w:rPr>
          <w:rFonts w:ascii="Times New Roman" w:hAnsi="Times New Roman"/>
          <w:sz w:val="24"/>
        </w:rPr>
        <w:t>E</w:t>
      </w:r>
      <w:r w:rsidR="005B5684" w:rsidRPr="001F0BEC">
        <w:rPr>
          <w:rFonts w:ascii="Times New Roman" w:hAnsi="Times New Roman"/>
          <w:sz w:val="24"/>
        </w:rPr>
        <w:t xml:space="preserve">l juez que los condenó en primera instancia, Edgard Altamirano, </w:t>
      </w:r>
      <w:r w:rsidRPr="001F0BEC">
        <w:rPr>
          <w:rFonts w:ascii="Times New Roman" w:hAnsi="Times New Roman"/>
          <w:sz w:val="24"/>
        </w:rPr>
        <w:t xml:space="preserve">sin </w:t>
      </w:r>
      <w:r w:rsidR="005B5684" w:rsidRPr="001F0BEC">
        <w:rPr>
          <w:rFonts w:ascii="Times New Roman" w:hAnsi="Times New Roman"/>
          <w:sz w:val="24"/>
        </w:rPr>
        <w:t>competencia territorial</w:t>
      </w:r>
      <w:r w:rsidR="005B5684" w:rsidRPr="00E03434">
        <w:rPr>
          <w:rFonts w:ascii="Times New Roman" w:hAnsi="Times New Roman"/>
          <w:sz w:val="24"/>
        </w:rPr>
        <w:t xml:space="preserve"> (postura que defendieron los abogados de nuestros 9 representados en el proceso penal, pero que fue ignorada), </w:t>
      </w:r>
      <w:r w:rsidR="005B5684" w:rsidRPr="001F0BEC">
        <w:rPr>
          <w:rFonts w:ascii="Times New Roman" w:hAnsi="Times New Roman"/>
          <w:b/>
          <w:bCs/>
          <w:sz w:val="24"/>
        </w:rPr>
        <w:t>desde 2018 ha sido uno de los jueces más utilizados por el gobierno para criminalizar a cientos de presos políticos</w:t>
      </w:r>
      <w:r w:rsidR="005B5684">
        <w:rPr>
          <w:rFonts w:ascii="Times New Roman" w:eastAsia="Times New Roman" w:hAnsi="Times New Roman" w:cs="Times New Roman"/>
          <w:sz w:val="24"/>
          <w:szCs w:val="24"/>
          <w:vertAlign w:val="superscript"/>
        </w:rPr>
        <w:footnoteReference w:id="52"/>
      </w:r>
      <w:r w:rsidR="005B5684" w:rsidRPr="00E03434">
        <w:rPr>
          <w:rFonts w:ascii="Times New Roman" w:hAnsi="Times New Roman"/>
          <w:sz w:val="24"/>
        </w:rPr>
        <w:t xml:space="preserve">. Otra muestra de la intencionalidad política de la detención es </w:t>
      </w:r>
      <w:proofErr w:type="gramStart"/>
      <w:r w:rsidR="00C325AC">
        <w:rPr>
          <w:rFonts w:ascii="Times New Roman" w:hAnsi="Times New Roman"/>
          <w:sz w:val="24"/>
        </w:rPr>
        <w:t>que</w:t>
      </w:r>
      <w:proofErr w:type="gramEnd"/>
      <w:r w:rsidR="00C325AC">
        <w:rPr>
          <w:rFonts w:ascii="Times New Roman" w:hAnsi="Times New Roman"/>
          <w:sz w:val="24"/>
        </w:rPr>
        <w:t xml:space="preserve"> aunque</w:t>
      </w:r>
      <w:r w:rsidR="005B5684" w:rsidRPr="00E03434">
        <w:rPr>
          <w:rFonts w:ascii="Times New Roman" w:hAnsi="Times New Roman"/>
          <w:sz w:val="24"/>
        </w:rPr>
        <w:t xml:space="preserve"> el señor José Olivar Meza cumplió su injusta condena el 27 de julio de 2014, las autoridades se rehúsan a liberarlo sin motivo legal alguno, tal como le sucede al preso político Jaime Enrique Navarrete Blandón</w:t>
      </w:r>
      <w:r w:rsidR="005B5684">
        <w:rPr>
          <w:rFonts w:ascii="Times New Roman" w:eastAsia="Times New Roman" w:hAnsi="Times New Roman" w:cs="Times New Roman"/>
          <w:sz w:val="24"/>
          <w:szCs w:val="24"/>
          <w:vertAlign w:val="superscript"/>
        </w:rPr>
        <w:footnoteReference w:id="53"/>
      </w:r>
      <w:r w:rsidR="001F0BEC">
        <w:rPr>
          <w:rFonts w:ascii="Times New Roman" w:hAnsi="Times New Roman"/>
          <w:sz w:val="24"/>
        </w:rPr>
        <w:t>.</w:t>
      </w:r>
    </w:p>
    <w:p w14:paraId="72123362" w14:textId="70398C5B" w:rsidR="00D55D36" w:rsidRDefault="005B5684" w:rsidP="007B7A01">
      <w:pPr>
        <w:spacing w:after="120" w:line="240" w:lineRule="auto"/>
        <w:jc w:val="both"/>
        <w:rPr>
          <w:rFonts w:ascii="Times New Roman" w:eastAsia="Times New Roman" w:hAnsi="Times New Roman" w:cs="Times New Roman"/>
          <w:color w:val="000000"/>
          <w:sz w:val="24"/>
          <w:szCs w:val="24"/>
        </w:rPr>
      </w:pPr>
      <w:r w:rsidRPr="00E03434">
        <w:rPr>
          <w:rFonts w:ascii="Times New Roman" w:hAnsi="Times New Roman"/>
          <w:sz w:val="24"/>
        </w:rPr>
        <w:t xml:space="preserve">Por otra parte, cabe aclarar que el hecho de que las nueve víctimas fueran acusadas y condenadas por delitos comunes (entre ellos asesinato, crimen organizado y/o encubrimiento) no desvirtúa el carácter discriminatorio de </w:t>
      </w:r>
      <w:r w:rsidRPr="00E03434">
        <w:rPr>
          <w:rFonts w:ascii="Times New Roman" w:hAnsi="Times New Roman"/>
          <w:i/>
          <w:sz w:val="24"/>
        </w:rPr>
        <w:t>facto</w:t>
      </w:r>
      <w:r w:rsidRPr="00E03434">
        <w:rPr>
          <w:rFonts w:ascii="Times New Roman" w:hAnsi="Times New Roman"/>
          <w:sz w:val="24"/>
        </w:rPr>
        <w:t xml:space="preserve"> de la detención debido a </w:t>
      </w:r>
      <w:r w:rsidR="00C325AC">
        <w:rPr>
          <w:rFonts w:ascii="Times New Roman" w:hAnsi="Times New Roman"/>
          <w:sz w:val="24"/>
        </w:rPr>
        <w:t>su</w:t>
      </w:r>
      <w:r w:rsidRPr="00E03434">
        <w:rPr>
          <w:rFonts w:ascii="Times New Roman" w:hAnsi="Times New Roman"/>
          <w:sz w:val="24"/>
        </w:rPr>
        <w:t xml:space="preserve"> ideología política opositora al gobierno, pues tanto los hechos como las pruebas en su contra fueron fabricados</w:t>
      </w:r>
      <w:r>
        <w:rPr>
          <w:rFonts w:ascii="Times New Roman" w:eastAsia="Times New Roman" w:hAnsi="Times New Roman" w:cs="Times New Roman"/>
          <w:sz w:val="24"/>
          <w:szCs w:val="24"/>
          <w:vertAlign w:val="superscript"/>
        </w:rPr>
        <w:footnoteReference w:id="54"/>
      </w:r>
      <w:r w:rsidRPr="00E03434">
        <w:rPr>
          <w:rFonts w:ascii="Times New Roman" w:hAnsi="Times New Roman"/>
          <w:sz w:val="24"/>
        </w:rPr>
        <w:t xml:space="preserve"> por la policía y la fiscalía a fin de incriminarlos como castigo político por su liderazgo liberal. </w:t>
      </w:r>
      <w:r w:rsidRPr="00E03434">
        <w:rPr>
          <w:rFonts w:ascii="Times New Roman" w:hAnsi="Times New Roman"/>
          <w:color w:val="000000"/>
          <w:sz w:val="24"/>
        </w:rPr>
        <w:t>Esto se subsume en lo constatado por el GHREN, quien identificó que, como parte del ataque sistemático y generalizado que sufre la población nicaragüense critica a</w:t>
      </w:r>
      <w:r w:rsidRPr="00E03434">
        <w:rPr>
          <w:rFonts w:ascii="Times New Roman" w:hAnsi="Times New Roman"/>
          <w:sz w:val="24"/>
        </w:rPr>
        <w:t>l</w:t>
      </w:r>
      <w:r w:rsidRPr="00E03434">
        <w:rPr>
          <w:rFonts w:ascii="Times New Roman" w:hAnsi="Times New Roman"/>
          <w:color w:val="000000"/>
          <w:sz w:val="24"/>
        </w:rPr>
        <w:t xml:space="preserve"> gobierno,</w:t>
      </w:r>
    </w:p>
    <w:p w14:paraId="3F4A2D70" w14:textId="77777777" w:rsidR="00D55D36" w:rsidRDefault="005B5684" w:rsidP="007B7A01">
      <w:pPr>
        <w:spacing w:after="120" w:line="240" w:lineRule="auto"/>
        <w:ind w:left="360" w:right="757"/>
        <w:jc w:val="both"/>
        <w:rPr>
          <w:rFonts w:ascii="Times New Roman" w:eastAsia="Times New Roman" w:hAnsi="Times New Roman" w:cs="Times New Roman"/>
          <w:color w:val="000000"/>
        </w:rPr>
      </w:pPr>
      <w:r w:rsidRPr="00E03434">
        <w:rPr>
          <w:rFonts w:ascii="Times New Roman" w:hAnsi="Times New Roman"/>
          <w:color w:val="000000"/>
        </w:rPr>
        <w:t>la policía y el Ministerio Público presentaron evidencia “fabricada”, incluyendo testimonios falsos y documentación manipulada. Por ejemplo, en varios casos se presentaron órdenes de detención con fechas posteriores a la fecha en la que las personas fueron detenidas, o se manipularon las fechas para aparentar que la orden había sido emitida antes de la detención. Múltiples y creíbles testigos entrevistados por el GHREN refirieron también que agentes de la policía “plantaron” armas o drogas en sus vehículos</w:t>
      </w:r>
      <w:r>
        <w:rPr>
          <w:rFonts w:ascii="Times New Roman" w:eastAsia="Times New Roman" w:hAnsi="Times New Roman" w:cs="Times New Roman"/>
          <w:color w:val="000000"/>
          <w:vertAlign w:val="superscript"/>
        </w:rPr>
        <w:footnoteReference w:id="55"/>
      </w:r>
      <w:r w:rsidRPr="00E03434">
        <w:rPr>
          <w:rFonts w:ascii="Times New Roman" w:hAnsi="Times New Roman"/>
          <w:color w:val="000000"/>
        </w:rPr>
        <w:t>.</w:t>
      </w:r>
    </w:p>
    <w:p w14:paraId="1BBDFED3" w14:textId="7D3E24F4"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color w:val="000000"/>
          <w:sz w:val="24"/>
        </w:rPr>
        <w:t>Por último, denunciamos que los tratos inhumanos, crueles y degradantes, y las graves torturas a los que han y siguen estando sometidas las nueve víctimas desde que fueron privadas de su libertad en 2014, son parte de las represalias discriminatorias en razón a sus creencias políticas.</w:t>
      </w:r>
      <w:r w:rsidRPr="00E03434">
        <w:rPr>
          <w:rFonts w:ascii="Times New Roman" w:hAnsi="Times New Roman"/>
          <w:sz w:val="24"/>
        </w:rPr>
        <w:t xml:space="preserve"> Estos constituyen violaciones continuadas a, </w:t>
      </w:r>
      <w:r w:rsidR="001F0BEC" w:rsidRPr="001F0BEC">
        <w:rPr>
          <w:rFonts w:ascii="Times New Roman" w:hAnsi="Times New Roman"/>
          <w:iCs/>
          <w:sz w:val="24"/>
        </w:rPr>
        <w:t>entre otros,</w:t>
      </w:r>
      <w:r w:rsidRPr="00E03434">
        <w:rPr>
          <w:rFonts w:ascii="Times New Roman" w:hAnsi="Times New Roman"/>
          <w:sz w:val="24"/>
        </w:rPr>
        <w:t xml:space="preserve"> su derecho a la integridad personal protegido por los artículos 7 del Pacto y 5 de la DUDH.</w:t>
      </w:r>
    </w:p>
    <w:p w14:paraId="2184E810" w14:textId="23B4EB4A" w:rsidR="00D55D36" w:rsidRPr="00F50CC7" w:rsidRDefault="005B5684" w:rsidP="00F50CC7">
      <w:pPr>
        <w:pStyle w:val="Prrafodelista"/>
        <w:numPr>
          <w:ilvl w:val="0"/>
          <w:numId w:val="9"/>
        </w:numPr>
        <w:pBdr>
          <w:top w:val="nil"/>
          <w:left w:val="nil"/>
          <w:bottom w:val="nil"/>
          <w:right w:val="nil"/>
          <w:between w:val="nil"/>
        </w:pBdr>
        <w:spacing w:after="120" w:line="240" w:lineRule="auto"/>
        <w:jc w:val="both"/>
        <w:outlineLvl w:val="1"/>
        <w:rPr>
          <w:rFonts w:ascii="Times New Roman" w:eastAsia="Times New Roman" w:hAnsi="Times New Roman" w:cs="Times New Roman"/>
          <w:color w:val="000000"/>
          <w:sz w:val="24"/>
          <w:szCs w:val="24"/>
          <w:u w:val="single"/>
        </w:rPr>
      </w:pPr>
      <w:bookmarkStart w:id="32" w:name="_heading=h.3as4poj" w:colFirst="0" w:colLast="0"/>
      <w:bookmarkStart w:id="33" w:name="_Toc203004176"/>
      <w:bookmarkEnd w:id="32"/>
      <w:r w:rsidRPr="00F50CC7">
        <w:rPr>
          <w:rFonts w:ascii="Times New Roman" w:hAnsi="Times New Roman"/>
          <w:color w:val="000000"/>
          <w:sz w:val="24"/>
          <w:u w:val="single"/>
        </w:rPr>
        <w:t xml:space="preserve">Incurrencia en la categoría III de los Métodos de Trabajo del </w:t>
      </w:r>
      <w:r w:rsidR="006967FC" w:rsidRPr="00F50CC7">
        <w:rPr>
          <w:rFonts w:ascii="Times New Roman" w:hAnsi="Times New Roman"/>
          <w:color w:val="000000"/>
          <w:sz w:val="24"/>
          <w:u w:val="single"/>
        </w:rPr>
        <w:t>GTDA</w:t>
      </w:r>
      <w:bookmarkEnd w:id="33"/>
    </w:p>
    <w:p w14:paraId="02C7662A" w14:textId="73D6443D" w:rsidR="00D55D36" w:rsidRDefault="005B5684" w:rsidP="00F50CC7">
      <w:pPr>
        <w:pStyle w:val="Ttulo3"/>
        <w:numPr>
          <w:ilvl w:val="1"/>
          <w:numId w:val="9"/>
        </w:numPr>
        <w:ind w:left="540"/>
        <w:rPr>
          <w:rFonts w:ascii="Times New Roman" w:eastAsia="Times New Roman" w:hAnsi="Times New Roman" w:cs="Times New Roman"/>
          <w:color w:val="000000"/>
          <w:sz w:val="24"/>
          <w:szCs w:val="24"/>
        </w:rPr>
      </w:pPr>
      <w:bookmarkStart w:id="34" w:name="_heading=h.1pxezwc" w:colFirst="0" w:colLast="0"/>
      <w:bookmarkStart w:id="35" w:name="_Toc203004177"/>
      <w:bookmarkEnd w:id="34"/>
      <w:r w:rsidRPr="00E03434">
        <w:rPr>
          <w:rFonts w:ascii="Times New Roman" w:hAnsi="Times New Roman"/>
          <w:i/>
          <w:color w:val="000000"/>
          <w:sz w:val="24"/>
        </w:rPr>
        <w:t>Violación al derecho al control judicial de la reclusión “sin demora” (arts. 9 de la DUDH y 9.3 del Pacto) y a ser informada de la acusación de manera pronta (art. 14.3.a del Pacto)</w:t>
      </w:r>
      <w:bookmarkEnd w:id="35"/>
    </w:p>
    <w:p w14:paraId="36A6FD26" w14:textId="3C357DB7"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 xml:space="preserve">Como explicamos a detalle en el acápite sobre la incurrencia en la Categoría I de los Métodos de Trabajo (párr. 67 </w:t>
      </w:r>
      <w:r w:rsidRPr="00E03434">
        <w:rPr>
          <w:rFonts w:ascii="Times New Roman" w:hAnsi="Times New Roman"/>
          <w:i/>
          <w:sz w:val="24"/>
        </w:rPr>
        <w:t>supra</w:t>
      </w:r>
      <w:r w:rsidRPr="00E03434">
        <w:rPr>
          <w:rFonts w:ascii="Times New Roman" w:hAnsi="Times New Roman"/>
          <w:sz w:val="24"/>
        </w:rPr>
        <w:t xml:space="preserve">) </w:t>
      </w:r>
      <w:r w:rsidRPr="00E03434">
        <w:rPr>
          <w:rFonts w:ascii="Times New Roman" w:hAnsi="Times New Roman"/>
          <w:b/>
          <w:sz w:val="24"/>
        </w:rPr>
        <w:t>tras sus respectivas capturas</w:t>
      </w:r>
      <w:r w:rsidRPr="00E03434">
        <w:rPr>
          <w:rFonts w:ascii="Times New Roman" w:hAnsi="Times New Roman"/>
          <w:sz w:val="24"/>
        </w:rPr>
        <w:t xml:space="preserve">, el control judicial de reclusión (realizado a través de la audiencia preliminar) de las nueve víctimas fue extemporáneo de las 48 horas que </w:t>
      </w:r>
      <w:r w:rsidRPr="00E03434">
        <w:rPr>
          <w:rFonts w:ascii="Times New Roman" w:hAnsi="Times New Roman"/>
          <w:sz w:val="24"/>
        </w:rPr>
        <w:lastRenderedPageBreak/>
        <w:t>exigen los artículos 33.2.2 de la Constitución de Nicaragua</w:t>
      </w:r>
      <w:r>
        <w:rPr>
          <w:rFonts w:ascii="Times New Roman" w:eastAsia="Times New Roman" w:hAnsi="Times New Roman" w:cs="Times New Roman"/>
          <w:sz w:val="24"/>
          <w:szCs w:val="24"/>
          <w:vertAlign w:val="superscript"/>
        </w:rPr>
        <w:footnoteReference w:id="56"/>
      </w:r>
      <w:r w:rsidRPr="00E03434">
        <w:rPr>
          <w:rFonts w:ascii="Times New Roman" w:hAnsi="Times New Roman"/>
          <w:sz w:val="24"/>
        </w:rPr>
        <w:t xml:space="preserve"> y 256 del Código Procesal Penal de Nicaragua</w:t>
      </w:r>
      <w:r>
        <w:rPr>
          <w:rFonts w:ascii="Times New Roman" w:eastAsia="Times New Roman" w:hAnsi="Times New Roman" w:cs="Times New Roman"/>
          <w:sz w:val="24"/>
          <w:szCs w:val="24"/>
          <w:vertAlign w:val="superscript"/>
        </w:rPr>
        <w:footnoteReference w:id="57"/>
      </w:r>
      <w:r w:rsidRPr="00E03434">
        <w:rPr>
          <w:rFonts w:ascii="Times New Roman" w:hAnsi="Times New Roman"/>
          <w:sz w:val="24"/>
        </w:rPr>
        <w:t xml:space="preserve"> y también según el Comité de Derechos Humanos</w:t>
      </w:r>
      <w:r>
        <w:t>.</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w:t>
      </w:r>
    </w:p>
    <w:p w14:paraId="3F4A74DF" w14:textId="1110F216" w:rsidR="00D55D36" w:rsidRDefault="000251C6"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Hasta</w:t>
      </w:r>
      <w:r w:rsidR="005B5684" w:rsidRPr="00E03434">
        <w:rPr>
          <w:rFonts w:ascii="Times New Roman" w:hAnsi="Times New Roman"/>
          <w:sz w:val="24"/>
        </w:rPr>
        <w:t xml:space="preserve"> el momento de las audiencias preliminares nueve representados conocieron sus acusaciones. De este modo también se violó la garantía del artículo 14.3.a) del Pacto, ya que el Comité de Derechos Humanos ha especificado que dicho artículo contiene “el derecho a ser informado ‘sin demora’ de la acusación exige que la información se proporcione tan pronto como una autoridad competente, con arreglo al derecho interno</w:t>
      </w:r>
      <w:r w:rsidR="005B5684">
        <w:t>”,</w:t>
      </w:r>
      <w:r w:rsidR="005B5684" w:rsidRPr="00E03434">
        <w:rPr>
          <w:rFonts w:ascii="Times New Roman" w:hAnsi="Times New Roman"/>
          <w:sz w:val="24"/>
        </w:rPr>
        <w:t xml:space="preserve"> que en el caso de Nicaragua es, como hemos señalado, en un plazo máximo de 48 horas tras la captura.</w:t>
      </w:r>
    </w:p>
    <w:p w14:paraId="0DC8A966" w14:textId="102EECFB" w:rsidR="00D55D36" w:rsidRPr="00F50CC7" w:rsidRDefault="005B5684" w:rsidP="00F50CC7">
      <w:pPr>
        <w:pStyle w:val="Prrafodelista"/>
        <w:numPr>
          <w:ilvl w:val="1"/>
          <w:numId w:val="9"/>
        </w:numPr>
        <w:pBdr>
          <w:top w:val="nil"/>
          <w:left w:val="nil"/>
          <w:bottom w:val="nil"/>
          <w:right w:val="nil"/>
          <w:between w:val="nil"/>
        </w:pBdr>
        <w:tabs>
          <w:tab w:val="left" w:pos="540"/>
        </w:tabs>
        <w:spacing w:after="120" w:line="240" w:lineRule="auto"/>
        <w:ind w:left="450" w:hanging="180"/>
        <w:jc w:val="both"/>
        <w:outlineLvl w:val="2"/>
        <w:rPr>
          <w:rFonts w:ascii="Times New Roman" w:eastAsia="Times New Roman" w:hAnsi="Times New Roman" w:cs="Times New Roman"/>
          <w:i/>
          <w:color w:val="000000"/>
          <w:sz w:val="24"/>
          <w:szCs w:val="24"/>
        </w:rPr>
      </w:pPr>
      <w:bookmarkStart w:id="36" w:name="_heading=h.49x2ik5" w:colFirst="0" w:colLast="0"/>
      <w:bookmarkStart w:id="37" w:name="_Toc203004178"/>
      <w:bookmarkEnd w:id="36"/>
      <w:r w:rsidRPr="00F50CC7">
        <w:rPr>
          <w:rFonts w:ascii="Times New Roman" w:hAnsi="Times New Roman"/>
          <w:i/>
          <w:color w:val="000000"/>
          <w:sz w:val="24"/>
        </w:rPr>
        <w:t>Violación a las garantías de independencia e imparcialidad judicial, juez competente, y al principio de igualdad ante la ley (arts. 7 y 10 de la DUDH y 14.1 del Pacto) en conexión derecho a un recurso efectivo (art. 8 de la DUDH)</w:t>
      </w:r>
      <w:bookmarkEnd w:id="37"/>
    </w:p>
    <w:p w14:paraId="661757DD" w14:textId="710E5D1D"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 xml:space="preserve"> Todas las autoridades judiciales que han ejercido jurisdicción en la privación de la libertad de las nueve víctimas han carecido de independencia e imparcialidad de acuerdo con lo preceptuado en los artículos 10 de la DUDH y 14.1 del Pacto, debido a los sesgos políticos partidarios de las autoridades judiciales y del Ministerio Público en este tipo de casos con motivaciones políticas en Nicaragua. Esto a su vez las ha colocado en una situación de desigualdad de </w:t>
      </w:r>
      <w:r w:rsidRPr="00E03434">
        <w:rPr>
          <w:rFonts w:ascii="Times New Roman" w:hAnsi="Times New Roman"/>
          <w:i/>
          <w:sz w:val="24"/>
        </w:rPr>
        <w:t>facto</w:t>
      </w:r>
      <w:r w:rsidRPr="00E03434">
        <w:rPr>
          <w:rFonts w:ascii="Times New Roman" w:hAnsi="Times New Roman"/>
          <w:sz w:val="24"/>
        </w:rPr>
        <w:t xml:space="preserve"> en el proceso y ha generado que todos los recursos presentados sean inefectivos </w:t>
      </w:r>
      <w:r w:rsidRPr="00E03434">
        <w:rPr>
          <w:rFonts w:ascii="Times New Roman" w:hAnsi="Times New Roman"/>
          <w:i/>
          <w:sz w:val="24"/>
        </w:rPr>
        <w:t>per se</w:t>
      </w:r>
      <w:r w:rsidRPr="00E03434">
        <w:rPr>
          <w:rFonts w:ascii="Times New Roman" w:hAnsi="Times New Roman"/>
          <w:sz w:val="24"/>
        </w:rPr>
        <w:t>.</w:t>
      </w:r>
    </w:p>
    <w:p w14:paraId="2892A0C3" w14:textId="1BD0B82E" w:rsidR="00D55D36" w:rsidRDefault="00550FCF"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Pr>
          <w:rFonts w:ascii="Times New Roman" w:hAnsi="Times New Roman"/>
          <w:sz w:val="24"/>
        </w:rPr>
        <w:t>L</w:t>
      </w:r>
      <w:r w:rsidR="005B5684" w:rsidRPr="00E03434">
        <w:rPr>
          <w:rFonts w:ascii="Times New Roman" w:hAnsi="Times New Roman"/>
          <w:sz w:val="24"/>
        </w:rPr>
        <w:t xml:space="preserve">a falta de imparcialidad </w:t>
      </w:r>
      <w:r w:rsidR="00785F5F" w:rsidRPr="00E03434">
        <w:rPr>
          <w:rFonts w:ascii="Times New Roman" w:hAnsi="Times New Roman"/>
          <w:sz w:val="24"/>
        </w:rPr>
        <w:t>ha sido</w:t>
      </w:r>
      <w:r w:rsidR="005B5684" w:rsidRPr="00E03434">
        <w:rPr>
          <w:rFonts w:ascii="Times New Roman" w:hAnsi="Times New Roman"/>
          <w:sz w:val="24"/>
        </w:rPr>
        <w:t xml:space="preserve"> evidente en todo el proceso con las decisiones judiciales que han </w:t>
      </w:r>
      <w:r>
        <w:rPr>
          <w:rFonts w:ascii="Times New Roman" w:hAnsi="Times New Roman"/>
          <w:sz w:val="24"/>
        </w:rPr>
        <w:t>considerado</w:t>
      </w:r>
      <w:r w:rsidR="005B5684" w:rsidRPr="00E03434">
        <w:rPr>
          <w:rFonts w:ascii="Times New Roman" w:hAnsi="Times New Roman"/>
          <w:sz w:val="24"/>
        </w:rPr>
        <w:t xml:space="preserve"> únicamente lo indicado por la fiscalía, rechazando o ignorando todo argumento y prueba que demostrara la ilegalidad de la privación de libertad y la inculpabilidad de nuestros nueve representados. </w:t>
      </w:r>
      <w:r>
        <w:rPr>
          <w:rFonts w:ascii="Times New Roman" w:hAnsi="Times New Roman"/>
          <w:sz w:val="24"/>
        </w:rPr>
        <w:t>E</w:t>
      </w:r>
      <w:r w:rsidR="005B5684" w:rsidRPr="00E03434">
        <w:rPr>
          <w:rFonts w:ascii="Times New Roman" w:hAnsi="Times New Roman"/>
          <w:sz w:val="24"/>
        </w:rPr>
        <w:t xml:space="preserve">n las audiencias preliminares de cada uno sus judiciales admitieron la acusación y decretaron la prisión preventiva pese de que las defensas habían alegado la ilegalidad del arresto y las torturas para lograr una </w:t>
      </w:r>
      <w:proofErr w:type="spellStart"/>
      <w:r w:rsidR="005B5684" w:rsidRPr="00E03434">
        <w:rPr>
          <w:rFonts w:ascii="Times New Roman" w:hAnsi="Times New Roman"/>
          <w:sz w:val="24"/>
        </w:rPr>
        <w:t>autoconfesión</w:t>
      </w:r>
      <w:proofErr w:type="spellEnd"/>
      <w:r w:rsidR="005B5684" w:rsidRPr="00E03434">
        <w:rPr>
          <w:rFonts w:ascii="Times New Roman" w:hAnsi="Times New Roman"/>
          <w:sz w:val="24"/>
        </w:rPr>
        <w:t xml:space="preserve">.  Luego, aún peor, el </w:t>
      </w:r>
      <w:r w:rsidR="00D0442C">
        <w:rPr>
          <w:rFonts w:ascii="Times New Roman" w:hAnsi="Times New Roman"/>
          <w:sz w:val="24"/>
        </w:rPr>
        <w:t>TAM</w:t>
      </w:r>
      <w:r w:rsidR="005B5684" w:rsidRPr="00E03434">
        <w:rPr>
          <w:rFonts w:ascii="Times New Roman" w:hAnsi="Times New Roman"/>
          <w:sz w:val="24"/>
        </w:rPr>
        <w:t xml:space="preserve"> declaró no ha lugar los recursos de apelación </w:t>
      </w:r>
      <w:r w:rsidR="00785F5F" w:rsidRPr="00E03434">
        <w:rPr>
          <w:rFonts w:ascii="Times New Roman" w:hAnsi="Times New Roman"/>
          <w:sz w:val="24"/>
        </w:rPr>
        <w:t>alegando</w:t>
      </w:r>
      <w:r w:rsidR="005B5684" w:rsidRPr="00E03434">
        <w:rPr>
          <w:rFonts w:ascii="Times New Roman" w:hAnsi="Times New Roman"/>
          <w:sz w:val="24"/>
        </w:rPr>
        <w:t xml:space="preserve"> que no existía ninguna violación al debido proceso, a pesar de que son notorias las violaciones.</w:t>
      </w:r>
    </w:p>
    <w:p w14:paraId="1C2E2CC3" w14:textId="31A52486"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 xml:space="preserve">Otro punto para mostrar la falta de imparcialidad e independencia judicial de </w:t>
      </w:r>
      <w:r w:rsidRPr="00E03434">
        <w:rPr>
          <w:rFonts w:ascii="Times New Roman" w:hAnsi="Times New Roman"/>
          <w:i/>
          <w:sz w:val="24"/>
        </w:rPr>
        <w:t>facto</w:t>
      </w:r>
      <w:r w:rsidRPr="00E03434">
        <w:rPr>
          <w:rFonts w:ascii="Times New Roman" w:hAnsi="Times New Roman"/>
          <w:sz w:val="24"/>
        </w:rPr>
        <w:t xml:space="preserve"> fue que el juez que celebró el juicio en contra de nuestros nueve representados fue </w:t>
      </w:r>
      <w:r w:rsidRPr="00E03434">
        <w:rPr>
          <w:rFonts w:ascii="Times New Roman" w:hAnsi="Times New Roman"/>
          <w:b/>
          <w:sz w:val="24"/>
        </w:rPr>
        <w:t>Edgard Orlando Altamirano López</w:t>
      </w:r>
      <w:r w:rsidRPr="00E03434">
        <w:rPr>
          <w:rFonts w:ascii="Times New Roman" w:hAnsi="Times New Roman"/>
          <w:sz w:val="24"/>
        </w:rPr>
        <w:t>, quien no tenía competencia territorial para ventilar el caso, ya que los presuntos hechos sucedieron en el departamento de Matagalpa y él no era juez de Matagalpa, sino de Managua; es</w:t>
      </w:r>
      <w:r>
        <w:rPr>
          <w:rFonts w:ascii="Times New Roman" w:eastAsia="Times New Roman" w:hAnsi="Times New Roman" w:cs="Times New Roman"/>
          <w:sz w:val="24"/>
          <w:szCs w:val="24"/>
        </w:rPr>
        <w:t xml:space="preserve"> decir</w:t>
      </w:r>
      <w:r w:rsidRPr="00E03434">
        <w:rPr>
          <w:rFonts w:ascii="Times New Roman" w:hAnsi="Times New Roman"/>
          <w:sz w:val="24"/>
        </w:rPr>
        <w:t xml:space="preserve">, </w:t>
      </w:r>
      <w:r w:rsidRPr="00E03434">
        <w:rPr>
          <w:rFonts w:ascii="Times New Roman" w:hAnsi="Times New Roman"/>
          <w:b/>
          <w:sz w:val="24"/>
        </w:rPr>
        <w:t>no era su juez natural.</w:t>
      </w:r>
      <w:r w:rsidRPr="00E03434">
        <w:rPr>
          <w:rFonts w:ascii="Times New Roman" w:hAnsi="Times New Roman"/>
          <w:sz w:val="24"/>
        </w:rPr>
        <w:t xml:space="preserve"> Esto no fue un simple error procesal, pues, como indicamos </w:t>
      </w:r>
      <w:r w:rsidR="001F0BEC">
        <w:rPr>
          <w:rFonts w:ascii="Times New Roman" w:hAnsi="Times New Roman"/>
          <w:sz w:val="24"/>
        </w:rPr>
        <w:t>previamente</w:t>
      </w:r>
      <w:r w:rsidRPr="00E03434">
        <w:rPr>
          <w:rFonts w:ascii="Times New Roman" w:hAnsi="Times New Roman"/>
          <w:sz w:val="24"/>
        </w:rPr>
        <w:t xml:space="preserve">, </w:t>
      </w:r>
      <w:r w:rsidRPr="00E03434">
        <w:rPr>
          <w:rFonts w:ascii="Times New Roman" w:hAnsi="Times New Roman"/>
          <w:b/>
          <w:sz w:val="24"/>
        </w:rPr>
        <w:t>a partir</w:t>
      </w:r>
      <w:r w:rsidRPr="00E03434">
        <w:rPr>
          <w:rFonts w:ascii="Times New Roman" w:hAnsi="Times New Roman"/>
          <w:sz w:val="24"/>
        </w:rPr>
        <w:t xml:space="preserve"> de 2018 </w:t>
      </w:r>
      <w:r w:rsidRPr="00E03434">
        <w:rPr>
          <w:rFonts w:ascii="Times New Roman" w:hAnsi="Times New Roman"/>
          <w:b/>
          <w:sz w:val="24"/>
        </w:rPr>
        <w:t>este juez fue reconocido como uno de los más utilizados por el gobierno para criminalizar por motivos políticos a sus detractores</w:t>
      </w:r>
      <w:r>
        <w:t>.</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w:t>
      </w:r>
    </w:p>
    <w:p w14:paraId="3277F91A" w14:textId="5AED9CE6"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Otra muestra de la intencionalidad política de la detención es que el señor José Olivar Meza cumplió su injusta condena el 27 de julio de 2024, pero las autoridades estatales se rehúsan a liberarlo sin motivo legal alguno.</w:t>
      </w:r>
      <w:r w:rsidR="001F0BEC">
        <w:rPr>
          <w:rFonts w:ascii="Times New Roman" w:hAnsi="Times New Roman"/>
          <w:sz w:val="24"/>
        </w:rPr>
        <w:t xml:space="preserve"> En lugar de ello, en marzo de 2025 fue enviado a una celda de </w:t>
      </w:r>
      <w:r w:rsidR="001F0BEC">
        <w:rPr>
          <w:rFonts w:ascii="Times New Roman" w:hAnsi="Times New Roman"/>
          <w:sz w:val="24"/>
        </w:rPr>
        <w:lastRenderedPageBreak/>
        <w:t xml:space="preserve">castigo al mismo tiempo que Eddy Gutiérrez, ello en represalia a que Eddy </w:t>
      </w:r>
      <w:proofErr w:type="gramStart"/>
      <w:r w:rsidR="001F0BEC">
        <w:rPr>
          <w:rFonts w:ascii="Times New Roman" w:hAnsi="Times New Roman"/>
          <w:sz w:val="24"/>
        </w:rPr>
        <w:t>le</w:t>
      </w:r>
      <w:proofErr w:type="gramEnd"/>
      <w:r w:rsidR="001F0BEC">
        <w:rPr>
          <w:rFonts w:ascii="Times New Roman" w:hAnsi="Times New Roman"/>
          <w:sz w:val="24"/>
        </w:rPr>
        <w:t xml:space="preserve"> pidió a los guardias liberar a José Meza por haber cumplido su pena.</w:t>
      </w:r>
    </w:p>
    <w:p w14:paraId="3F9C2021" w14:textId="708CF1E5"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E03434">
        <w:rPr>
          <w:rFonts w:ascii="Times New Roman" w:hAnsi="Times New Roman"/>
          <w:color w:val="000000"/>
          <w:sz w:val="24"/>
        </w:rPr>
        <w:t xml:space="preserve">Dicho lo anterior, es </w:t>
      </w:r>
      <w:r w:rsidRPr="00E03434">
        <w:rPr>
          <w:rFonts w:ascii="Times New Roman" w:hAnsi="Times New Roman"/>
          <w:i/>
          <w:color w:val="000000"/>
          <w:sz w:val="24"/>
        </w:rPr>
        <w:t>sine qua non</w:t>
      </w:r>
      <w:r w:rsidRPr="00E03434">
        <w:rPr>
          <w:rFonts w:ascii="Times New Roman" w:hAnsi="Times New Roman"/>
          <w:color w:val="000000"/>
          <w:sz w:val="24"/>
        </w:rPr>
        <w:t xml:space="preserve"> que el Ilustre Grupo considere que </w:t>
      </w:r>
      <w:r w:rsidRPr="00E03434">
        <w:rPr>
          <w:rFonts w:ascii="Times New Roman" w:hAnsi="Times New Roman"/>
          <w:sz w:val="24"/>
        </w:rPr>
        <w:t xml:space="preserve">las violaciones a las distintas garantías procesales no han sido actos aislados de cada autoridad judicial, sino que se circunscriben al contexto de falta de separación de poderes en Nicaragua constatado en el acápite III </w:t>
      </w:r>
      <w:r w:rsidRPr="00E03434">
        <w:rPr>
          <w:rFonts w:ascii="Times New Roman" w:hAnsi="Times New Roman"/>
          <w:i/>
          <w:sz w:val="24"/>
        </w:rPr>
        <w:t>supra</w:t>
      </w:r>
      <w:r w:rsidRPr="00E03434">
        <w:rPr>
          <w:rFonts w:ascii="Times New Roman" w:hAnsi="Times New Roman"/>
          <w:sz w:val="24"/>
        </w:rPr>
        <w:t>. Recordemos que el GHREN ha considerado que el Poder Judicial ha sido utilizado por el gobierno “con el fin de llevar a cabo la instrumentalización del derecho penal como herramienta de persecución de las personas opositoras, reales o percibidas</w:t>
      </w:r>
      <w: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w:t>
      </w:r>
    </w:p>
    <w:p w14:paraId="638968FA" w14:textId="7DDFA092" w:rsidR="00D55D36" w:rsidRPr="00F50CC7" w:rsidRDefault="005B5684" w:rsidP="00F50CC7">
      <w:pPr>
        <w:pStyle w:val="Prrafodelista"/>
        <w:numPr>
          <w:ilvl w:val="1"/>
          <w:numId w:val="9"/>
        </w:numPr>
        <w:pBdr>
          <w:top w:val="nil"/>
          <w:left w:val="nil"/>
          <w:bottom w:val="nil"/>
          <w:right w:val="nil"/>
          <w:between w:val="nil"/>
        </w:pBdr>
        <w:spacing w:after="120" w:line="240" w:lineRule="auto"/>
        <w:jc w:val="both"/>
        <w:outlineLvl w:val="2"/>
        <w:rPr>
          <w:rFonts w:ascii="Times New Roman" w:eastAsia="Times New Roman" w:hAnsi="Times New Roman" w:cs="Times New Roman"/>
          <w:i/>
          <w:color w:val="000000"/>
          <w:sz w:val="24"/>
          <w:szCs w:val="24"/>
        </w:rPr>
      </w:pPr>
      <w:bookmarkStart w:id="38" w:name="_heading=h.2p2csry" w:colFirst="0" w:colLast="0"/>
      <w:bookmarkStart w:id="39" w:name="_Toc203004179"/>
      <w:bookmarkEnd w:id="38"/>
      <w:r w:rsidRPr="00F50CC7">
        <w:rPr>
          <w:rFonts w:ascii="Times New Roman" w:hAnsi="Times New Roman"/>
          <w:i/>
          <w:color w:val="000000"/>
          <w:sz w:val="24"/>
        </w:rPr>
        <w:t>Violación al principio de presunción de inocencia (arts. 11.1 de la DUDH y 14.2 del Pacto)</w:t>
      </w:r>
      <w:bookmarkEnd w:id="39"/>
    </w:p>
    <w:p w14:paraId="298D3A9B" w14:textId="2A6E9B93"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E03434">
        <w:rPr>
          <w:rFonts w:ascii="Times New Roman" w:hAnsi="Times New Roman"/>
          <w:color w:val="000000"/>
          <w:sz w:val="24"/>
        </w:rPr>
        <w:t xml:space="preserve">El principio de presunción de inocencia reconocido en los artículos 11.1 de la DUDH y 14.2 del Pacto implica, </w:t>
      </w:r>
      <w:r w:rsidRPr="00E03434">
        <w:rPr>
          <w:rFonts w:ascii="Times New Roman" w:hAnsi="Times New Roman"/>
          <w:i/>
          <w:color w:val="000000"/>
          <w:sz w:val="24"/>
        </w:rPr>
        <w:t xml:space="preserve">inter </w:t>
      </w:r>
      <w:proofErr w:type="spellStart"/>
      <w:r w:rsidRPr="00E03434">
        <w:rPr>
          <w:rFonts w:ascii="Times New Roman" w:hAnsi="Times New Roman"/>
          <w:i/>
          <w:color w:val="000000"/>
          <w:sz w:val="24"/>
        </w:rPr>
        <w:t>alia</w:t>
      </w:r>
      <w:proofErr w:type="spellEnd"/>
      <w:r w:rsidRPr="00E03434">
        <w:rPr>
          <w:rFonts w:ascii="Times New Roman" w:hAnsi="Times New Roman"/>
          <w:i/>
          <w:color w:val="000000"/>
          <w:sz w:val="24"/>
        </w:rPr>
        <w:t>,</w:t>
      </w:r>
      <w:r w:rsidRPr="00E03434">
        <w:rPr>
          <w:rFonts w:ascii="Times New Roman" w:hAnsi="Times New Roman"/>
          <w:color w:val="000000"/>
          <w:sz w:val="24"/>
        </w:rPr>
        <w:t xml:space="preserve"> que “todas las </w:t>
      </w:r>
      <w:proofErr w:type="gramStart"/>
      <w:r w:rsidRPr="00E03434">
        <w:rPr>
          <w:rFonts w:ascii="Times New Roman" w:hAnsi="Times New Roman"/>
          <w:color w:val="000000"/>
          <w:sz w:val="24"/>
        </w:rPr>
        <w:t>autoridades públicas</w:t>
      </w:r>
      <w:proofErr w:type="gramEnd"/>
      <w:r w:rsidRPr="00E03434">
        <w:rPr>
          <w:rFonts w:ascii="Times New Roman" w:hAnsi="Times New Roman"/>
          <w:color w:val="000000"/>
          <w:sz w:val="24"/>
        </w:rPr>
        <w:t xml:space="preserve"> tienen el deber de abstenerse de prejuzgar los resultados de un juicio [por lo que] normalmente, los acusados no deberán llevar grilletes o estar enjaulados durante el juicio, ni ser presentados ante el tribunal de alguna otra manera que dé a entender que podría tratarse de delincuentes peligrosos</w:t>
      </w:r>
      <w:r>
        <w:t>”.</w:t>
      </w:r>
      <w:r>
        <w:rPr>
          <w:rFonts w:ascii="Times New Roman" w:eastAsia="Times New Roman" w:hAnsi="Times New Roman" w:cs="Times New Roman"/>
          <w:color w:val="000000"/>
          <w:sz w:val="24"/>
          <w:szCs w:val="24"/>
          <w:vertAlign w:val="superscript"/>
        </w:rPr>
        <w:footnoteReference w:id="61"/>
      </w:r>
      <w:r>
        <w:rPr>
          <w:rFonts w:ascii="Times New Roman" w:eastAsia="Times New Roman" w:hAnsi="Times New Roman" w:cs="Times New Roman"/>
          <w:color w:val="000000"/>
          <w:sz w:val="24"/>
          <w:szCs w:val="24"/>
        </w:rPr>
        <w:t xml:space="preserve">”. </w:t>
      </w:r>
    </w:p>
    <w:p w14:paraId="2A0E027C" w14:textId="19A0761D" w:rsidR="00D55D36" w:rsidRDefault="00564431"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Así, l</w:t>
      </w:r>
      <w:r w:rsidR="005B5684" w:rsidRPr="00E03434">
        <w:rPr>
          <w:rFonts w:ascii="Times New Roman" w:hAnsi="Times New Roman"/>
          <w:color w:val="000000"/>
          <w:sz w:val="24"/>
        </w:rPr>
        <w:t xml:space="preserve">a Corte </w:t>
      </w:r>
      <w:r w:rsidRPr="00E03434">
        <w:rPr>
          <w:rFonts w:ascii="Times New Roman" w:hAnsi="Times New Roman"/>
          <w:color w:val="000000"/>
          <w:sz w:val="24"/>
        </w:rPr>
        <w:t>Interamericana</w:t>
      </w:r>
      <w:r>
        <w:rPr>
          <w:rFonts w:ascii="Times New Roman" w:hAnsi="Times New Roman"/>
          <w:color w:val="000000"/>
          <w:sz w:val="24"/>
        </w:rPr>
        <w:t xml:space="preserve"> </w:t>
      </w:r>
      <w:r w:rsidR="005B5684" w:rsidRPr="00E03434">
        <w:rPr>
          <w:rFonts w:ascii="Times New Roman" w:hAnsi="Times New Roman"/>
          <w:color w:val="000000"/>
          <w:sz w:val="24"/>
        </w:rPr>
        <w:t>en el Caso Pollo Rivera Vs. Perú</w:t>
      </w:r>
      <w:r>
        <w:rPr>
          <w:rFonts w:ascii="Times New Roman" w:hAnsi="Times New Roman"/>
          <w:color w:val="000000"/>
          <w:sz w:val="24"/>
        </w:rPr>
        <w:t xml:space="preserve"> </w:t>
      </w:r>
      <w:r w:rsidR="005B5684" w:rsidRPr="00E03434">
        <w:rPr>
          <w:rFonts w:ascii="Times New Roman" w:hAnsi="Times New Roman"/>
          <w:color w:val="000000"/>
          <w:sz w:val="24"/>
        </w:rPr>
        <w:t xml:space="preserve">declaró la violación del principio de presunción de inocencia debido a que </w:t>
      </w:r>
      <w:r>
        <w:rPr>
          <w:rFonts w:ascii="Times New Roman" w:hAnsi="Times New Roman"/>
          <w:color w:val="000000"/>
          <w:sz w:val="24"/>
        </w:rPr>
        <w:t>policías</w:t>
      </w:r>
      <w:r w:rsidR="005B5684" w:rsidRPr="00E03434">
        <w:rPr>
          <w:rFonts w:ascii="Times New Roman" w:hAnsi="Times New Roman"/>
          <w:color w:val="000000"/>
          <w:sz w:val="24"/>
        </w:rPr>
        <w:t xml:space="preserve"> presentaron a la víctima con un traje de rayas, esposado y señalado de ser miembro un grupo terrorista, generando un prejuicio sobre su culpabilidad y prejuzgando la evaluación de los hechos por una autoridad judicial</w:t>
      </w:r>
      <w:r w:rsidR="005B5684">
        <w:rPr>
          <w:rFonts w:ascii="Times New Roman" w:eastAsia="Times New Roman" w:hAnsi="Times New Roman" w:cs="Times New Roman"/>
          <w:color w:val="000000"/>
          <w:sz w:val="24"/>
          <w:szCs w:val="24"/>
          <w:vertAlign w:val="superscript"/>
        </w:rPr>
        <w:footnoteReference w:id="62"/>
      </w:r>
      <w:r w:rsidR="005B5684" w:rsidRPr="00E03434">
        <w:rPr>
          <w:rFonts w:ascii="Times New Roman" w:hAnsi="Times New Roman"/>
          <w:color w:val="000000"/>
          <w:sz w:val="24"/>
        </w:rPr>
        <w:t xml:space="preserve">. Por su parte, el </w:t>
      </w:r>
      <w:r w:rsidR="0026187E">
        <w:rPr>
          <w:rFonts w:ascii="Times New Roman" w:hAnsi="Times New Roman"/>
          <w:color w:val="000000"/>
          <w:sz w:val="24"/>
        </w:rPr>
        <w:t>GTDA</w:t>
      </w:r>
      <w:r w:rsidR="005B5684" w:rsidRPr="00E03434">
        <w:rPr>
          <w:rFonts w:ascii="Times New Roman" w:hAnsi="Times New Roman"/>
          <w:color w:val="000000"/>
          <w:sz w:val="24"/>
        </w:rPr>
        <w:t xml:space="preserve"> ha declarado la violación a este principio </w:t>
      </w:r>
      <w:r w:rsidR="005B5684" w:rsidRPr="00E31649">
        <w:rPr>
          <w:rFonts w:ascii="Times New Roman" w:hAnsi="Times New Roman" w:cs="Times New Roman"/>
          <w:sz w:val="24"/>
          <w:szCs w:val="24"/>
        </w:rPr>
        <w:t>contra</w:t>
      </w:r>
      <w:r w:rsidR="005B5684" w:rsidRPr="00E31649">
        <w:rPr>
          <w:rFonts w:ascii="Times New Roman" w:hAnsi="Times New Roman"/>
          <w:color w:val="000000"/>
          <w:sz w:val="28"/>
          <w:szCs w:val="24"/>
        </w:rPr>
        <w:t xml:space="preserve"> </w:t>
      </w:r>
      <w:r w:rsidR="005B5684" w:rsidRPr="00E03434">
        <w:rPr>
          <w:rFonts w:ascii="Times New Roman" w:hAnsi="Times New Roman"/>
          <w:color w:val="000000"/>
          <w:sz w:val="24"/>
        </w:rPr>
        <w:t xml:space="preserve">dos periodistas nicaragüenses que fueron obligados a disculparse con el </w:t>
      </w:r>
      <w:proofErr w:type="gramStart"/>
      <w:r w:rsidR="005B5684" w:rsidRPr="00E03434">
        <w:rPr>
          <w:rFonts w:ascii="Times New Roman" w:hAnsi="Times New Roman"/>
          <w:color w:val="000000"/>
          <w:sz w:val="24"/>
        </w:rPr>
        <w:t>Presidente</w:t>
      </w:r>
      <w:proofErr w:type="gramEnd"/>
      <w:r w:rsidR="005B5684" w:rsidRPr="00E03434">
        <w:rPr>
          <w:rFonts w:ascii="Times New Roman" w:hAnsi="Times New Roman"/>
          <w:color w:val="000000"/>
          <w:sz w:val="24"/>
        </w:rPr>
        <w:t xml:space="preserve"> </w:t>
      </w:r>
      <w:r>
        <w:rPr>
          <w:rFonts w:ascii="Times New Roman" w:hAnsi="Times New Roman"/>
          <w:color w:val="000000"/>
          <w:sz w:val="24"/>
        </w:rPr>
        <w:t xml:space="preserve">de la República </w:t>
      </w:r>
      <w:r w:rsidR="005B5684" w:rsidRPr="00E03434">
        <w:rPr>
          <w:rFonts w:ascii="Times New Roman" w:hAnsi="Times New Roman"/>
          <w:color w:val="000000"/>
          <w:sz w:val="24"/>
        </w:rPr>
        <w:t>por presuntos hechos delictivos, siendo que dicha confesión fue sin que sus abogados estuvieran presentes</w:t>
      </w:r>
      <w:r w:rsidR="005B5684">
        <w:rPr>
          <w:rFonts w:ascii="Times New Roman" w:eastAsia="Times New Roman" w:hAnsi="Times New Roman" w:cs="Times New Roman"/>
          <w:color w:val="000000"/>
          <w:sz w:val="24"/>
          <w:szCs w:val="24"/>
          <w:vertAlign w:val="superscript"/>
        </w:rPr>
        <w:footnoteReference w:id="63"/>
      </w:r>
      <w:r w:rsidR="005B5684" w:rsidRPr="00E03434">
        <w:rPr>
          <w:rFonts w:ascii="Times New Roman" w:hAnsi="Times New Roman"/>
          <w:color w:val="000000"/>
          <w:sz w:val="24"/>
        </w:rPr>
        <w:t>.</w:t>
      </w:r>
    </w:p>
    <w:p w14:paraId="76820F08" w14:textId="08A206E1"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E03434">
        <w:rPr>
          <w:rFonts w:ascii="Times New Roman" w:hAnsi="Times New Roman"/>
          <w:color w:val="000000"/>
          <w:sz w:val="24"/>
        </w:rPr>
        <w:t>Esos lineamientos internacionales permiten considerar que a las nueve víctimas del presente caso se les vulneró su presunción de inocencia, ya que el 7 de agosto de 2014 en una conferencia de prensa fueron presentados por la policía nacional como criminales (no presuntos responsables), esposados y vestidos de gris</w:t>
      </w:r>
      <w:r>
        <w:rPr>
          <w:rFonts w:ascii="Times New Roman" w:eastAsia="Times New Roman" w:hAnsi="Times New Roman" w:cs="Times New Roman"/>
          <w:color w:val="000000"/>
          <w:sz w:val="24"/>
          <w:szCs w:val="24"/>
          <w:vertAlign w:val="superscript"/>
        </w:rPr>
        <w:footnoteReference w:id="64"/>
      </w:r>
      <w:r w:rsidRPr="00E03434">
        <w:rPr>
          <w:rFonts w:ascii="Times New Roman" w:hAnsi="Times New Roman"/>
          <w:color w:val="000000"/>
          <w:sz w:val="24"/>
        </w:rPr>
        <w:t xml:space="preserve">. Incluso, algunas de las víctimas (Wilfredo Balmaceda, Eddy Gutiérrez, Jairo Obando y Ricardo Cortez) </w:t>
      </w:r>
      <w:r w:rsidR="00CC4619">
        <w:rPr>
          <w:rFonts w:ascii="Times New Roman" w:hAnsi="Times New Roman"/>
          <w:color w:val="000000"/>
          <w:sz w:val="24"/>
        </w:rPr>
        <w:t>fueron</w:t>
      </w:r>
      <w:r w:rsidRPr="00E03434">
        <w:rPr>
          <w:rFonts w:ascii="Times New Roman" w:hAnsi="Times New Roman"/>
          <w:color w:val="000000"/>
          <w:sz w:val="24"/>
        </w:rPr>
        <w:t xml:space="preserve"> obligados por la policía nacional a realizar un video relatando los presuntos hechos, el cual fue presentado ante la opinión p</w:t>
      </w:r>
      <w:r w:rsidRPr="00E03434">
        <w:rPr>
          <w:rFonts w:ascii="Times New Roman" w:hAnsi="Times New Roman"/>
          <w:sz w:val="24"/>
        </w:rPr>
        <w:t>ú</w:t>
      </w:r>
      <w:r w:rsidRPr="00E03434">
        <w:rPr>
          <w:rFonts w:ascii="Times New Roman" w:hAnsi="Times New Roman"/>
          <w:color w:val="000000"/>
          <w:sz w:val="24"/>
        </w:rPr>
        <w:t>blica el mismo 7 de agosto</w:t>
      </w:r>
      <w:r>
        <w:rPr>
          <w:rFonts w:ascii="Times New Roman" w:eastAsia="Times New Roman" w:hAnsi="Times New Roman" w:cs="Times New Roman"/>
          <w:color w:val="000000"/>
          <w:sz w:val="24"/>
          <w:szCs w:val="24"/>
          <w:vertAlign w:val="superscript"/>
        </w:rPr>
        <w:footnoteReference w:id="65"/>
      </w:r>
      <w:r w:rsidRPr="00E03434">
        <w:rPr>
          <w:rFonts w:ascii="Times New Roman" w:hAnsi="Times New Roman"/>
          <w:color w:val="000000"/>
          <w:sz w:val="24"/>
        </w:rPr>
        <w:t>. A ello se le suma que durante días previos a esa presentación las nueve víctimas fueron brutalmente torturadas por la policía nacional -mientras estaban en total incomunicación con el mundo exterior- para que se inculparan como los responsables de los hechos fabricados por la policía para efectos de su presentación de prensa.</w:t>
      </w:r>
      <w:r>
        <w:rPr>
          <w:rFonts w:ascii="Times New Roman" w:eastAsia="Times New Roman" w:hAnsi="Times New Roman" w:cs="Times New Roman"/>
          <w:color w:val="000000"/>
          <w:sz w:val="24"/>
          <w:szCs w:val="24"/>
        </w:rPr>
        <w:t xml:space="preserve">  </w:t>
      </w:r>
    </w:p>
    <w:p w14:paraId="7687AAC0" w14:textId="1B635A31"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E03434">
        <w:rPr>
          <w:rFonts w:ascii="Times New Roman" w:hAnsi="Times New Roman"/>
          <w:color w:val="000000"/>
          <w:sz w:val="24"/>
        </w:rPr>
        <w:t xml:space="preserve">A partir de esa presentación de prensa, los medios de comunicación oficialistas, como el llamado </w:t>
      </w:r>
      <w:r w:rsidRPr="00E03434">
        <w:rPr>
          <w:rFonts w:ascii="Times New Roman" w:hAnsi="Times New Roman"/>
          <w:i/>
          <w:color w:val="000000"/>
          <w:sz w:val="24"/>
        </w:rPr>
        <w:t>19 Digital</w:t>
      </w:r>
      <w:r w:rsidRPr="00E03434">
        <w:rPr>
          <w:rFonts w:ascii="Times New Roman" w:hAnsi="Times New Roman"/>
          <w:color w:val="000000"/>
          <w:sz w:val="24"/>
        </w:rPr>
        <w:t xml:space="preserve">, calificaron a nuestros nueve representados como “asesinos”. </w:t>
      </w:r>
      <w:r w:rsidRPr="00E03434">
        <w:rPr>
          <w:rFonts w:ascii="Times New Roman" w:hAnsi="Times New Roman"/>
          <w:sz w:val="24"/>
        </w:rPr>
        <w:t>E</w:t>
      </w:r>
      <w:r w:rsidRPr="00E03434">
        <w:rPr>
          <w:rFonts w:ascii="Times New Roman" w:hAnsi="Times New Roman"/>
          <w:color w:val="000000"/>
          <w:sz w:val="24"/>
        </w:rPr>
        <w:t>n una nota de prensa del 7 de agosto de 2014 dicho medio de comunicación los calificó como asesinos hasta en seis ocasiones</w:t>
      </w:r>
      <w:r>
        <w:rPr>
          <w:rFonts w:ascii="Times New Roman" w:eastAsia="Times New Roman" w:hAnsi="Times New Roman" w:cs="Times New Roman"/>
          <w:color w:val="000000"/>
          <w:sz w:val="24"/>
          <w:szCs w:val="24"/>
          <w:vertAlign w:val="superscript"/>
        </w:rPr>
        <w:footnoteReference w:id="66"/>
      </w:r>
      <w:r w:rsidRPr="00E03434">
        <w:rPr>
          <w:rFonts w:ascii="Times New Roman" w:hAnsi="Times New Roman"/>
          <w:color w:val="000000"/>
          <w:sz w:val="24"/>
        </w:rPr>
        <w:t xml:space="preserve">; y, a su vez, secundando lo señalado por la </w:t>
      </w:r>
      <w:proofErr w:type="gramStart"/>
      <w:r w:rsidRPr="00E03434">
        <w:rPr>
          <w:rFonts w:ascii="Times New Roman" w:hAnsi="Times New Roman"/>
          <w:color w:val="000000"/>
          <w:sz w:val="24"/>
        </w:rPr>
        <w:t>Jefa</w:t>
      </w:r>
      <w:proofErr w:type="gramEnd"/>
      <w:r w:rsidRPr="00E03434">
        <w:rPr>
          <w:rFonts w:ascii="Times New Roman" w:hAnsi="Times New Roman"/>
          <w:color w:val="000000"/>
          <w:sz w:val="24"/>
        </w:rPr>
        <w:t xml:space="preserve"> de la Policía Nacional, </w:t>
      </w:r>
      <w:proofErr w:type="spellStart"/>
      <w:r w:rsidRPr="00E03434">
        <w:rPr>
          <w:rFonts w:ascii="Times New Roman" w:hAnsi="Times New Roman"/>
          <w:color w:val="000000"/>
          <w:sz w:val="24"/>
        </w:rPr>
        <w:t>Aminta</w:t>
      </w:r>
      <w:proofErr w:type="spellEnd"/>
      <w:r w:rsidRPr="00E03434">
        <w:rPr>
          <w:rFonts w:ascii="Times New Roman" w:hAnsi="Times New Roman"/>
          <w:color w:val="000000"/>
          <w:sz w:val="24"/>
        </w:rPr>
        <w:t xml:space="preserve"> Granera, </w:t>
      </w:r>
      <w:r w:rsidRPr="00E03434">
        <w:rPr>
          <w:rFonts w:ascii="Times New Roman" w:hAnsi="Times New Roman"/>
          <w:color w:val="000000"/>
          <w:sz w:val="24"/>
        </w:rPr>
        <w:lastRenderedPageBreak/>
        <w:t>en la nota de prensa de ese día</w:t>
      </w:r>
      <w:r>
        <w:rPr>
          <w:rFonts w:ascii="Times New Roman" w:eastAsia="Times New Roman" w:hAnsi="Times New Roman" w:cs="Times New Roman"/>
          <w:color w:val="000000"/>
          <w:sz w:val="24"/>
          <w:szCs w:val="24"/>
          <w:vertAlign w:val="superscript"/>
        </w:rPr>
        <w:footnoteReference w:id="67"/>
      </w:r>
      <w:r w:rsidRPr="00E03434">
        <w:rPr>
          <w:rFonts w:ascii="Times New Roman" w:hAnsi="Times New Roman"/>
          <w:color w:val="000000"/>
          <w:sz w:val="24"/>
        </w:rPr>
        <w:t xml:space="preserve">, señaló que los nueve son parte de “una banda criminal con conexiones </w:t>
      </w:r>
      <w:proofErr w:type="spellStart"/>
      <w:r w:rsidRPr="00E03434">
        <w:rPr>
          <w:rFonts w:ascii="Times New Roman" w:hAnsi="Times New Roman"/>
          <w:color w:val="000000"/>
          <w:sz w:val="24"/>
        </w:rPr>
        <w:t>seudo-familiares</w:t>
      </w:r>
      <w:proofErr w:type="spellEnd"/>
      <w: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68"/>
      </w:r>
      <w:r>
        <w:rPr>
          <w:rFonts w:ascii="Times New Roman" w:eastAsia="Times New Roman" w:hAnsi="Times New Roman" w:cs="Times New Roman"/>
          <w:color w:val="000000"/>
          <w:sz w:val="24"/>
          <w:szCs w:val="24"/>
        </w:rPr>
        <w:t>.</w:t>
      </w:r>
      <w:r w:rsidRPr="00E03434">
        <w:rPr>
          <w:rFonts w:ascii="Times New Roman" w:hAnsi="Times New Roman"/>
          <w:color w:val="000000"/>
          <w:sz w:val="24"/>
        </w:rPr>
        <w:t xml:space="preserve"> Todo esto generó un prejuzgamiento social y judicial de los hechos y un grave impacto en la honra y dignidad de las nueve víctimas y sus familiares, ello teniendo en cuenta la relevancia y el impacto del caso a nivel nacional.</w:t>
      </w:r>
    </w:p>
    <w:p w14:paraId="4DAE89E6" w14:textId="5BDD16C3" w:rsidR="00D55D36" w:rsidRDefault="00CC4619"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Pr>
          <w:rFonts w:ascii="Times New Roman" w:hAnsi="Times New Roman"/>
          <w:color w:val="000000"/>
          <w:sz w:val="24"/>
        </w:rPr>
        <w:t>Es</w:t>
      </w:r>
      <w:r w:rsidR="005B5684" w:rsidRPr="00E03434">
        <w:rPr>
          <w:rFonts w:ascii="Times New Roman" w:hAnsi="Times New Roman"/>
          <w:color w:val="000000"/>
          <w:sz w:val="24"/>
        </w:rPr>
        <w:t xml:space="preserve"> fundamental resaltar que, según la Corte Interamericana, en virtud del principio de presunción de inocencia se debe “valorar racional y objetivamente las pruebas de cargo y descargo, pero también las pruebas de oficio, así como desvirtuar las hipótesis de inocencia que surgiera a partir de éstas, a fin de determinar la responsabilidad penal</w:t>
      </w:r>
      <w:r w:rsidR="005B5684">
        <w:t>”.</w:t>
      </w:r>
      <w:r w:rsidR="005B5684">
        <w:rPr>
          <w:rFonts w:ascii="Times New Roman" w:eastAsia="Times New Roman" w:hAnsi="Times New Roman" w:cs="Times New Roman"/>
          <w:color w:val="000000"/>
          <w:sz w:val="24"/>
          <w:szCs w:val="24"/>
        </w:rPr>
        <w:t>”</w:t>
      </w:r>
      <w:r w:rsidR="005B5684">
        <w:rPr>
          <w:rFonts w:ascii="Times New Roman" w:eastAsia="Times New Roman" w:hAnsi="Times New Roman" w:cs="Times New Roman"/>
          <w:color w:val="000000"/>
          <w:sz w:val="24"/>
          <w:szCs w:val="24"/>
          <w:vertAlign w:val="superscript"/>
        </w:rPr>
        <w:footnoteReference w:id="69"/>
      </w:r>
      <w:r w:rsidR="005B5684">
        <w:rPr>
          <w:rFonts w:ascii="Times New Roman" w:eastAsia="Times New Roman" w:hAnsi="Times New Roman" w:cs="Times New Roman"/>
          <w:color w:val="000000"/>
          <w:sz w:val="24"/>
          <w:szCs w:val="24"/>
        </w:rPr>
        <w:t>.</w:t>
      </w:r>
      <w:r w:rsidR="005B5684" w:rsidRPr="00E03434">
        <w:rPr>
          <w:rFonts w:ascii="Times New Roman" w:hAnsi="Times New Roman"/>
          <w:color w:val="000000"/>
          <w:sz w:val="24"/>
        </w:rPr>
        <w:t xml:space="preserve"> A la luz de dicho criterio jurisprudencial, podemos sostener que el principio de presunción de inocencia de las nueve víctimas también se ha vulnerado con el hecho de que </w:t>
      </w:r>
      <w:r w:rsidR="005B5684" w:rsidRPr="00E03434">
        <w:rPr>
          <w:rFonts w:ascii="Times New Roman" w:hAnsi="Times New Roman"/>
          <w:sz w:val="24"/>
        </w:rPr>
        <w:t xml:space="preserve">los judiciales del caso </w:t>
      </w:r>
      <w:r w:rsidR="005B5684" w:rsidRPr="00E03434">
        <w:rPr>
          <w:rFonts w:ascii="Times New Roman" w:hAnsi="Times New Roman"/>
          <w:color w:val="000000"/>
          <w:sz w:val="24"/>
        </w:rPr>
        <w:t xml:space="preserve">ignoraron las pruebas de descargo que manifestaban su inocencia (ej. la prueba fotográfica que demostraba que el señor Eddy Gutiérrez no se encontraba en el lugar del ataque del 19 de julio de 2014 </w:t>
      </w:r>
      <w:r w:rsidR="005B5684">
        <w:rPr>
          <w:rFonts w:ascii="Times New Roman" w:eastAsia="Times New Roman" w:hAnsi="Times New Roman" w:cs="Times New Roman"/>
          <w:sz w:val="24"/>
          <w:szCs w:val="24"/>
          <w:vertAlign w:val="superscript"/>
        </w:rPr>
        <w:footnoteReference w:id="70"/>
      </w:r>
      <w:r w:rsidR="005B5684" w:rsidRPr="00E03434">
        <w:rPr>
          <w:rFonts w:ascii="Times New Roman" w:hAnsi="Times New Roman"/>
          <w:color w:val="000000"/>
          <w:sz w:val="24"/>
        </w:rPr>
        <w:t xml:space="preserve"> y porque no actuaron de oficio para ordenar una investigación sobre las torturas contra las nueve víctimas, generando así menos posibilidades para demostrar la inocencia </w:t>
      </w:r>
      <w:r w:rsidR="005B5684" w:rsidRPr="00E03434">
        <w:rPr>
          <w:rFonts w:ascii="Times New Roman" w:hAnsi="Times New Roman"/>
          <w:sz w:val="24"/>
        </w:rPr>
        <w:t>.</w:t>
      </w:r>
    </w:p>
    <w:p w14:paraId="1472107C" w14:textId="5438838E" w:rsidR="00D55D36" w:rsidRPr="00F50CC7" w:rsidRDefault="005B5684" w:rsidP="00F50CC7">
      <w:pPr>
        <w:pStyle w:val="Prrafodelista"/>
        <w:numPr>
          <w:ilvl w:val="1"/>
          <w:numId w:val="9"/>
        </w:numPr>
        <w:pBdr>
          <w:top w:val="nil"/>
          <w:left w:val="nil"/>
          <w:bottom w:val="nil"/>
          <w:right w:val="nil"/>
          <w:between w:val="nil"/>
        </w:pBdr>
        <w:spacing w:after="120" w:line="240" w:lineRule="auto"/>
        <w:jc w:val="both"/>
        <w:outlineLvl w:val="2"/>
        <w:rPr>
          <w:rFonts w:ascii="Times New Roman" w:eastAsia="Times New Roman" w:hAnsi="Times New Roman" w:cs="Times New Roman"/>
          <w:i/>
          <w:color w:val="000000"/>
          <w:sz w:val="24"/>
          <w:szCs w:val="24"/>
        </w:rPr>
      </w:pPr>
      <w:bookmarkStart w:id="40" w:name="_heading=h.147n2zr" w:colFirst="0" w:colLast="0"/>
      <w:bookmarkStart w:id="41" w:name="_Toc203004180"/>
      <w:bookmarkEnd w:id="40"/>
      <w:r w:rsidRPr="00F50CC7">
        <w:rPr>
          <w:rFonts w:ascii="Times New Roman" w:hAnsi="Times New Roman"/>
          <w:i/>
          <w:color w:val="000000"/>
          <w:sz w:val="24"/>
        </w:rPr>
        <w:t>Violación al derecho a la defensa (arts. 11.1 de la DUDH y 14.3.b y 14.3.d del Pacto)</w:t>
      </w:r>
      <w:bookmarkEnd w:id="41"/>
    </w:p>
    <w:p w14:paraId="4CA6A8B2" w14:textId="2CE356B8"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Los artículos 11.1 de la DUDH y 14.3.b y 14.3.d del Pacto reconocen el derecho a la defensa, tanto material como técnica. El C</w:t>
      </w:r>
      <w:r w:rsidR="004161BA">
        <w:rPr>
          <w:rFonts w:ascii="Times New Roman" w:hAnsi="Times New Roman"/>
          <w:sz w:val="24"/>
        </w:rPr>
        <w:t>omité</w:t>
      </w:r>
      <w:r w:rsidRPr="00E03434">
        <w:rPr>
          <w:rFonts w:ascii="Times New Roman" w:hAnsi="Times New Roman"/>
          <w:sz w:val="24"/>
        </w:rPr>
        <w:t>, en relación con el artículo 14.3.b) del Pacto, ha reconocido que el derecho a comunicarse con el defensor exige que se garantice al acusado el pronto acceso a su abogado, en privado y garantizando una comunicación confidencial</w:t>
      </w:r>
      <w:r>
        <w:rPr>
          <w:rFonts w:ascii="Times New Roman" w:eastAsia="Times New Roman" w:hAnsi="Times New Roman" w:cs="Times New Roman"/>
          <w:sz w:val="24"/>
          <w:szCs w:val="24"/>
          <w:vertAlign w:val="superscript"/>
        </w:rPr>
        <w:footnoteReference w:id="71"/>
      </w:r>
      <w:r w:rsidRPr="00E03434">
        <w:rPr>
          <w:rFonts w:ascii="Times New Roman" w:hAnsi="Times New Roman"/>
          <w:sz w:val="24"/>
        </w:rPr>
        <w:t>. En ese mismo orden, el GTDA ha indicado que el derecho a la comunicación con el abogado surge “inmediatamente después de que se practique la detención, y que el acceso a dicha asistencia se debe facilitar sin demora</w:t>
      </w:r>
      <w: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w:t>
      </w:r>
    </w:p>
    <w:p w14:paraId="30A2A4FC" w14:textId="7C248D10" w:rsidR="00D55D36" w:rsidRDefault="005B5684" w:rsidP="007B7A01">
      <w:pPr>
        <w:spacing w:after="120" w:line="240" w:lineRule="auto"/>
        <w:jc w:val="both"/>
        <w:rPr>
          <w:rFonts w:ascii="Times New Roman" w:eastAsia="Times New Roman" w:hAnsi="Times New Roman" w:cs="Times New Roman"/>
          <w:sz w:val="24"/>
          <w:szCs w:val="24"/>
        </w:rPr>
      </w:pPr>
      <w:r w:rsidRPr="00E03434">
        <w:rPr>
          <w:rFonts w:ascii="Times New Roman" w:hAnsi="Times New Roman"/>
          <w:sz w:val="24"/>
        </w:rPr>
        <w:t xml:space="preserve">De tal modo, en el </w:t>
      </w:r>
      <w:r w:rsidR="004161BA">
        <w:rPr>
          <w:rFonts w:ascii="Times New Roman" w:hAnsi="Times New Roman"/>
          <w:sz w:val="24"/>
        </w:rPr>
        <w:t>caso en litis</w:t>
      </w:r>
      <w:r w:rsidRPr="00E03434">
        <w:rPr>
          <w:rFonts w:ascii="Times New Roman" w:hAnsi="Times New Roman"/>
          <w:sz w:val="24"/>
        </w:rPr>
        <w:t xml:space="preserve"> a las nueve víctimas se </w:t>
      </w:r>
      <w:proofErr w:type="gramStart"/>
      <w:r w:rsidRPr="00E03434">
        <w:rPr>
          <w:rFonts w:ascii="Times New Roman" w:hAnsi="Times New Roman"/>
          <w:sz w:val="24"/>
        </w:rPr>
        <w:t>les</w:t>
      </w:r>
      <w:proofErr w:type="gramEnd"/>
      <w:r w:rsidRPr="00E03434">
        <w:rPr>
          <w:rFonts w:ascii="Times New Roman" w:hAnsi="Times New Roman"/>
          <w:sz w:val="24"/>
        </w:rPr>
        <w:t xml:space="preserve"> vulneró su derecho a la defensa y a tener acceso a comunicarse de manera privada con los abogados de su elección. Cabe recordar que las víctimas mientras estuvieron en condición de desaparición forzada tras su captura </w:t>
      </w:r>
      <w:r w:rsidRPr="00AF176A">
        <w:rPr>
          <w:rFonts w:ascii="Times New Roman" w:hAnsi="Times New Roman"/>
          <w:sz w:val="24"/>
        </w:rPr>
        <w:t xml:space="preserve">les fue imposible comunicarse con sus abogados. En ese </w:t>
      </w:r>
      <w:r w:rsidR="00424001" w:rsidRPr="00AF176A">
        <w:rPr>
          <w:rFonts w:ascii="Times New Roman" w:hAnsi="Times New Roman"/>
          <w:sz w:val="24"/>
        </w:rPr>
        <w:t>tiempo fueron</w:t>
      </w:r>
      <w:r w:rsidRPr="00AF176A">
        <w:rPr>
          <w:rFonts w:ascii="Times New Roman" w:hAnsi="Times New Roman"/>
          <w:sz w:val="24"/>
        </w:rPr>
        <w:t xml:space="preserve"> torturadas y sometidas a largos interrogatorios policiales sin presencia de sus abogados. Esta incomunicación impidió, a su vez, que sus abogados pudieran tener los medios adecuados para preparar la debida defensa.</w:t>
      </w:r>
    </w:p>
    <w:p w14:paraId="6AA015BC" w14:textId="44C73CCC" w:rsidR="00D55D36" w:rsidRDefault="00440F28"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Si</w:t>
      </w:r>
      <w:r w:rsidR="005B5684" w:rsidRPr="00AF176A">
        <w:rPr>
          <w:rFonts w:ascii="Times New Roman" w:hAnsi="Times New Roman"/>
          <w:sz w:val="24"/>
        </w:rPr>
        <w:t xml:space="preserve"> bien en el caso del Walter Balmaceda (detenido el 22 de julio de 2014) su abogado privado lo asistió en su audiencia preliminar el 26 de julio de ese año, </w:t>
      </w:r>
      <w:r>
        <w:rPr>
          <w:rFonts w:ascii="Times New Roman" w:hAnsi="Times New Roman"/>
          <w:sz w:val="24"/>
        </w:rPr>
        <w:t>fue sin</w:t>
      </w:r>
      <w:r w:rsidR="005B5684" w:rsidRPr="00AF176A">
        <w:rPr>
          <w:rFonts w:ascii="Times New Roman" w:hAnsi="Times New Roman"/>
          <w:sz w:val="24"/>
        </w:rPr>
        <w:t xml:space="preserve"> una comunicación privada en ningún momento de esa audiencia. Luego de esa audiencia su abogado interpuso hasta dos escritos más a la autoridad judicial solicitando que le permitieran comunicarse con el señor Walter, pero fue hasta el 4 de agosto de 2014 (13 días después de su captura) que el judicial permitió que se comunicaran 10 minutos en privado.</w:t>
      </w:r>
    </w:p>
    <w:p w14:paraId="1A6EC45C" w14:textId="2882946E" w:rsidR="00D55D36" w:rsidRDefault="005B5684" w:rsidP="007B7A01">
      <w:pP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lastRenderedPageBreak/>
        <w:t xml:space="preserve">Con el resto de las ocho víctimas la comunicación con sus abogados fue hasta la fecha de la audiencia preliminar celebrada el 13 de agosto de 2014, </w:t>
      </w:r>
      <w:r w:rsidR="00F3789C">
        <w:rPr>
          <w:rFonts w:ascii="Times New Roman" w:hAnsi="Times New Roman"/>
          <w:sz w:val="24"/>
        </w:rPr>
        <w:t xml:space="preserve">antes </w:t>
      </w:r>
      <w:r w:rsidRPr="00AF176A">
        <w:rPr>
          <w:rFonts w:ascii="Times New Roman" w:hAnsi="Times New Roman"/>
          <w:sz w:val="24"/>
        </w:rPr>
        <w:t>ninguno había tenido acceso a comunicación alguna con sus abogados ni sus familiares. Aunque en esa audiencia sus abogados estuvieron presentes para asumir la intervención de ley, tampoco tuvieron comunicación privada con ellos, sino hasta días después.</w:t>
      </w:r>
    </w:p>
    <w:p w14:paraId="266FC8F4" w14:textId="25543026" w:rsidR="00D55D36" w:rsidRDefault="005B5684" w:rsidP="007B7A01">
      <w:pP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t>Por otra parte, esta representación anota que el art. 14.3.b) del Pacto también reconoce que</w:t>
      </w:r>
    </w:p>
    <w:p w14:paraId="297CEFB7" w14:textId="5DF6301D" w:rsidR="00D55D36" w:rsidRDefault="005B5684" w:rsidP="007B7A01">
      <w:pPr>
        <w:spacing w:after="120" w:line="240" w:lineRule="auto"/>
        <w:ind w:left="709" w:right="713"/>
        <w:jc w:val="both"/>
        <w:rPr>
          <w:rFonts w:ascii="Times New Roman" w:eastAsia="Times New Roman" w:hAnsi="Times New Roman" w:cs="Times New Roman"/>
          <w:sz w:val="24"/>
          <w:szCs w:val="24"/>
        </w:rPr>
      </w:pPr>
      <w:r w:rsidRPr="00AF176A">
        <w:rPr>
          <w:rFonts w:ascii="Times New Roman" w:hAnsi="Times New Roman"/>
        </w:rPr>
        <w:t>los “medios adecuados” [para ejercer el derecho a la defensa] deben comprender el acceso a los documentos y otras pruebas; ese acceso debe incluir todos los materiales que la acusación tenga previsto presentar ante el tribunal contra el acusado o que constituyan pruebas de descargo. Se consideran materiales de descargo no solo aquellos que establezcan la inocencia sino también otras pruebas que puedan asistir a la defensa (por ejemplo, indicios de que una confesión no fue hecha voluntariamente</w:t>
      </w:r>
      <w:r>
        <w:t>).</w:t>
      </w:r>
      <w:r>
        <w:rPr>
          <w:rFonts w:ascii="Times New Roman" w:eastAsia="Times New Roman" w:hAnsi="Times New Roman" w:cs="Times New Roman"/>
          <w:vertAlign w:val="superscript"/>
        </w:rPr>
        <w:footnoteReference w:id="73"/>
      </w:r>
      <w:r>
        <w:rPr>
          <w:rFonts w:ascii="Times New Roman" w:eastAsia="Times New Roman" w:hAnsi="Times New Roman" w:cs="Times New Roman"/>
          <w:sz w:val="24"/>
          <w:szCs w:val="24"/>
        </w:rPr>
        <w:t>.</w:t>
      </w:r>
    </w:p>
    <w:p w14:paraId="3905065D" w14:textId="56BF5B9C" w:rsidR="00D55D36" w:rsidRDefault="00F3789C"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E</w:t>
      </w:r>
      <w:r w:rsidR="005B5684" w:rsidRPr="00AF176A">
        <w:rPr>
          <w:rFonts w:ascii="Times New Roman" w:hAnsi="Times New Roman"/>
          <w:sz w:val="24"/>
        </w:rPr>
        <w:t>l derecho a la defensa de nuestros nueve representados también se vio socavado por el hecho de que las autoridades judiciales no abrieran un proceso para investigar las torturas en su contra, lo cual es una obligación internacional de oficio</w:t>
      </w:r>
      <w:r w:rsidR="005B5684">
        <w:rPr>
          <w:rFonts w:ascii="Times New Roman" w:eastAsia="Times New Roman" w:hAnsi="Times New Roman" w:cs="Times New Roman"/>
          <w:sz w:val="24"/>
          <w:szCs w:val="24"/>
          <w:vertAlign w:val="superscript"/>
        </w:rPr>
        <w:footnoteReference w:id="74"/>
      </w:r>
      <w:r w:rsidR="005B5684" w:rsidRPr="00AF176A">
        <w:rPr>
          <w:rFonts w:ascii="Times New Roman" w:hAnsi="Times New Roman"/>
          <w:sz w:val="24"/>
        </w:rPr>
        <w:t>. C</w:t>
      </w:r>
      <w:r w:rsidR="005B5684" w:rsidRPr="00AF176A">
        <w:rPr>
          <w:rFonts w:ascii="Times New Roman" w:hAnsi="Times New Roman"/>
          <w:i/>
          <w:sz w:val="24"/>
        </w:rPr>
        <w:t>ontrario sensu</w:t>
      </w:r>
      <w:r w:rsidR="005B5684" w:rsidRPr="00AF176A">
        <w:rPr>
          <w:rFonts w:ascii="Times New Roman" w:hAnsi="Times New Roman"/>
          <w:sz w:val="24"/>
        </w:rPr>
        <w:t xml:space="preserve">, fue totalmente ignorado a pesar de que Wilfredo Balmaceda, Eddy Gutiérrez y Jairo Obando señalaron al jefe de la </w:t>
      </w:r>
      <w:r w:rsidR="00AD4CA6">
        <w:rPr>
          <w:rFonts w:ascii="Times New Roman" w:hAnsi="Times New Roman"/>
          <w:sz w:val="24"/>
        </w:rPr>
        <w:t>DAJ</w:t>
      </w:r>
      <w:r w:rsidR="005B5684" w:rsidRPr="00AF176A">
        <w:rPr>
          <w:rFonts w:ascii="Times New Roman" w:hAnsi="Times New Roman"/>
          <w:sz w:val="24"/>
        </w:rPr>
        <w:t>, Ramón Avellán, como responsable de tales actos para fines de que confesaran los hechos en la etapa investigativa de la policía nacional</w:t>
      </w:r>
      <w:r w:rsidR="005B5684">
        <w:rPr>
          <w:rFonts w:ascii="Times New Roman" w:eastAsia="Times New Roman" w:hAnsi="Times New Roman" w:cs="Times New Roman"/>
          <w:sz w:val="24"/>
          <w:szCs w:val="24"/>
          <w:vertAlign w:val="superscript"/>
        </w:rPr>
        <w:footnoteReference w:id="75"/>
      </w:r>
      <w:r w:rsidR="005B5684" w:rsidRPr="00AF176A">
        <w:rPr>
          <w:rFonts w:ascii="Times New Roman" w:hAnsi="Times New Roman"/>
          <w:sz w:val="24"/>
        </w:rPr>
        <w:t>. Las pruebas periciales (ej. exámenes físicos y/o psicológicos) hubiesen demostrado que fueron torturados para confesar hechos delictivos que no cometieron y</w:t>
      </w:r>
      <w:r>
        <w:rPr>
          <w:rFonts w:ascii="Times New Roman" w:hAnsi="Times New Roman"/>
          <w:sz w:val="24"/>
        </w:rPr>
        <w:t xml:space="preserve"> </w:t>
      </w:r>
      <w:r w:rsidR="005B5684" w:rsidRPr="00AF176A">
        <w:rPr>
          <w:rFonts w:ascii="Times New Roman" w:hAnsi="Times New Roman"/>
          <w:sz w:val="24"/>
        </w:rPr>
        <w:t>hubiesen corroborado su inocencia.</w:t>
      </w:r>
    </w:p>
    <w:p w14:paraId="10D1F12F" w14:textId="527384D9" w:rsidR="00D55D36" w:rsidRDefault="00F3789C" w:rsidP="007B7A01">
      <w:pPr>
        <w:spacing w:after="120" w:line="240" w:lineRule="auto"/>
        <w:ind w:right="4"/>
        <w:jc w:val="both"/>
        <w:rPr>
          <w:rFonts w:ascii="Times New Roman" w:eastAsia="Times New Roman" w:hAnsi="Times New Roman" w:cs="Times New Roman"/>
          <w:sz w:val="24"/>
          <w:szCs w:val="24"/>
        </w:rPr>
      </w:pPr>
      <w:r>
        <w:rPr>
          <w:rFonts w:ascii="Times New Roman" w:hAnsi="Times New Roman"/>
          <w:sz w:val="24"/>
        </w:rPr>
        <w:t>E</w:t>
      </w:r>
      <w:r w:rsidR="005B5684" w:rsidRPr="00AF176A">
        <w:rPr>
          <w:rFonts w:ascii="Times New Roman" w:hAnsi="Times New Roman"/>
          <w:sz w:val="24"/>
        </w:rPr>
        <w:t>l derecho de defensa se vio gravemente afectado por la imposibilidad de que los abogados de las nueve víctimas pudieran contrainterrogar al presunto agente policial que había observado a varios de nuestros nueve representados reunirse para planificar el ataque a la caravana sandinista del 19 de julio de 2014, esto debido a que la policía señaló que era trabajo de “inteligencia” y que la identidad de dicha persona debía mantenerse en resguardo por seguridad. El Comité de Derechos Humanos ha indicado que este tipo de situaciones no satisfacen las normas fundamentales de un juicio con las debidas garantías</w:t>
      </w:r>
      <w:r w:rsidR="005B5684">
        <w:rPr>
          <w:rFonts w:ascii="Times New Roman" w:eastAsia="Times New Roman" w:hAnsi="Times New Roman" w:cs="Times New Roman"/>
          <w:sz w:val="24"/>
          <w:szCs w:val="24"/>
          <w:vertAlign w:val="superscript"/>
        </w:rPr>
        <w:footnoteReference w:id="76"/>
      </w:r>
      <w:r w:rsidR="005B5684" w:rsidRPr="00AF176A">
        <w:rPr>
          <w:rFonts w:ascii="Times New Roman" w:hAnsi="Times New Roman"/>
          <w:sz w:val="24"/>
        </w:rPr>
        <w:t>.</w:t>
      </w:r>
    </w:p>
    <w:p w14:paraId="633986E6" w14:textId="5E0A1744" w:rsidR="00D55D36" w:rsidRDefault="005B5684" w:rsidP="00F50CC7">
      <w:pPr>
        <w:pStyle w:val="Ttulo3"/>
        <w:numPr>
          <w:ilvl w:val="1"/>
          <w:numId w:val="9"/>
        </w:numPr>
        <w:spacing w:before="0" w:after="120" w:line="240" w:lineRule="auto"/>
        <w:rPr>
          <w:rFonts w:ascii="Times New Roman" w:eastAsia="Times New Roman" w:hAnsi="Times New Roman" w:cs="Times New Roman"/>
          <w:i/>
          <w:color w:val="000000"/>
          <w:sz w:val="24"/>
          <w:szCs w:val="24"/>
        </w:rPr>
      </w:pPr>
      <w:bookmarkStart w:id="42" w:name="_heading=h.3o7alnk" w:colFirst="0" w:colLast="0"/>
      <w:bookmarkStart w:id="43" w:name="_Toc203004181"/>
      <w:bookmarkEnd w:id="42"/>
      <w:r w:rsidRPr="00AF176A">
        <w:rPr>
          <w:rFonts w:ascii="Times New Roman" w:hAnsi="Times New Roman"/>
          <w:i/>
          <w:color w:val="000000"/>
          <w:sz w:val="24"/>
        </w:rPr>
        <w:t>Derecho a ser juzgado sin dilaciones (artículos 11.1 de la DUDH y 14.3.c) del Pacto)</w:t>
      </w:r>
      <w:bookmarkEnd w:id="43"/>
    </w:p>
    <w:p w14:paraId="30F9204A" w14:textId="7E6392E4"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El Comité de Derechos Humanos refiere a que todas las fases del proceso deben celebrarse "sin dilaciones indebidas</w:t>
      </w:r>
      <w:r>
        <w:t>".</w:t>
      </w:r>
      <w:r>
        <w:rPr>
          <w:rFonts w:ascii="Times New Roman" w:eastAsia="Times New Roman" w:hAnsi="Times New Roman" w:cs="Times New Roman"/>
          <w:color w:val="000000"/>
          <w:sz w:val="24"/>
          <w:szCs w:val="24"/>
          <w:vertAlign w:val="superscript"/>
        </w:rPr>
        <w:footnoteReference w:id="77"/>
      </w:r>
      <w:r>
        <w:rPr>
          <w:rFonts w:ascii="Times New Roman" w:eastAsia="Times New Roman" w:hAnsi="Times New Roman" w:cs="Times New Roman"/>
          <w:color w:val="000000"/>
          <w:sz w:val="24"/>
          <w:szCs w:val="24"/>
        </w:rPr>
        <w:t>.</w:t>
      </w:r>
      <w:r w:rsidRPr="00AF176A">
        <w:rPr>
          <w:rFonts w:ascii="Times New Roman" w:hAnsi="Times New Roman"/>
          <w:color w:val="000000"/>
          <w:sz w:val="24"/>
        </w:rPr>
        <w:t xml:space="preserve"> Para el Tribunal Interamericano, la garantía del “plazo razonable”, también llamada ser juzgado sin dilaciones, “se debe apreciar en relación con la duración total del procedimiento que se desarrolla hasta que se dicta la sentencia definitiva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78"/>
      </w:r>
      <w:r>
        <w:rPr>
          <w:rFonts w:ascii="Times New Roman" w:eastAsia="Times New Roman" w:hAnsi="Times New Roman" w:cs="Times New Roman"/>
          <w:color w:val="000000"/>
          <w:sz w:val="24"/>
          <w:szCs w:val="24"/>
        </w:rPr>
        <w:t>.</w:t>
      </w:r>
    </w:p>
    <w:p w14:paraId="60587E96" w14:textId="4176FCB0"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 xml:space="preserve">Para el caso en análisis es importante tomar en cuenta el precedente sentado por la Corte IDH en el Caso Genie Lacayo Vs. Nicaragua, donde consideró que se habían producido dilaciones </w:t>
      </w:r>
      <w:r w:rsidRPr="00AF176A">
        <w:rPr>
          <w:rFonts w:ascii="Times New Roman" w:hAnsi="Times New Roman"/>
          <w:color w:val="000000"/>
          <w:sz w:val="24"/>
        </w:rPr>
        <w:lastRenderedPageBreak/>
        <w:t xml:space="preserve">excesivas en la </w:t>
      </w:r>
      <w:r w:rsidRPr="00AF176A">
        <w:rPr>
          <w:rFonts w:ascii="Times New Roman" w:hAnsi="Times New Roman"/>
          <w:sz w:val="24"/>
        </w:rPr>
        <w:t>ú</w:t>
      </w:r>
      <w:r w:rsidRPr="00AF176A">
        <w:rPr>
          <w:rFonts w:ascii="Times New Roman" w:hAnsi="Times New Roman"/>
          <w:color w:val="000000"/>
          <w:sz w:val="24"/>
        </w:rPr>
        <w:t>ltima fase del proceso, es</w:t>
      </w:r>
      <w:r>
        <w:rPr>
          <w:rFonts w:ascii="Times New Roman" w:eastAsia="Times New Roman" w:hAnsi="Times New Roman" w:cs="Times New Roman"/>
          <w:color w:val="000000"/>
          <w:sz w:val="24"/>
          <w:szCs w:val="24"/>
        </w:rPr>
        <w:t xml:space="preserve"> decir</w:t>
      </w:r>
      <w:r w:rsidRPr="00AF176A">
        <w:rPr>
          <w:rFonts w:ascii="Times New Roman" w:hAnsi="Times New Roman"/>
          <w:color w:val="000000"/>
          <w:sz w:val="24"/>
        </w:rPr>
        <w:t>, del recurso de casación ante la Corte Suprema de Justicia, ya que ten</w:t>
      </w:r>
      <w:r w:rsidRPr="00AF176A">
        <w:rPr>
          <w:rFonts w:ascii="Times New Roman" w:hAnsi="Times New Roman"/>
          <w:sz w:val="24"/>
        </w:rPr>
        <w:t>í</w:t>
      </w:r>
      <w:r w:rsidRPr="00AF176A">
        <w:rPr>
          <w:rFonts w:ascii="Times New Roman" w:hAnsi="Times New Roman"/>
          <w:color w:val="000000"/>
          <w:sz w:val="24"/>
        </w:rPr>
        <w:t>a más de dos años sin ser resuelto desde la admisión de dicho recurso</w:t>
      </w:r>
      <w:r>
        <w:t>.</w:t>
      </w:r>
      <w:r>
        <w:rPr>
          <w:rFonts w:ascii="Times New Roman" w:eastAsia="Times New Roman" w:hAnsi="Times New Roman" w:cs="Times New Roman"/>
          <w:color w:val="000000"/>
          <w:sz w:val="24"/>
          <w:szCs w:val="24"/>
          <w:vertAlign w:val="superscript"/>
        </w:rPr>
        <w:footnoteReference w:id="79"/>
      </w:r>
      <w:r>
        <w:rPr>
          <w:rFonts w:ascii="Times New Roman" w:eastAsia="Times New Roman" w:hAnsi="Times New Roman" w:cs="Times New Roman"/>
          <w:color w:val="000000"/>
          <w:sz w:val="24"/>
          <w:szCs w:val="24"/>
        </w:rPr>
        <w:t xml:space="preserve">. </w:t>
      </w:r>
    </w:p>
    <w:p w14:paraId="3DFD3A2D" w14:textId="37339F50"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10</w:t>
      </w:r>
      <w:r w:rsidR="007C282E" w:rsidRPr="00AF176A">
        <w:rPr>
          <w:rFonts w:ascii="Times New Roman" w:hAnsi="Times New Roman"/>
          <w:color w:val="000000"/>
          <w:sz w:val="24"/>
        </w:rPr>
        <w:t>4</w:t>
      </w:r>
      <w:r w:rsidRPr="00AF176A">
        <w:rPr>
          <w:rFonts w:ascii="Times New Roman" w:hAnsi="Times New Roman"/>
          <w:color w:val="000000"/>
          <w:sz w:val="24"/>
        </w:rPr>
        <w:t>.</w:t>
      </w:r>
      <w:r w:rsidRPr="00AF176A">
        <w:rPr>
          <w:rFonts w:ascii="Times New Roman" w:hAnsi="Times New Roman"/>
          <w:color w:val="000000"/>
          <w:sz w:val="24"/>
        </w:rPr>
        <w:tab/>
      </w:r>
      <w:r w:rsidRPr="00AF176A">
        <w:rPr>
          <w:rFonts w:ascii="Times New Roman" w:hAnsi="Times New Roman"/>
          <w:sz w:val="24"/>
        </w:rPr>
        <w:t>Los</w:t>
      </w:r>
      <w:r w:rsidRPr="00AF176A">
        <w:rPr>
          <w:rFonts w:ascii="Times New Roman" w:hAnsi="Times New Roman"/>
          <w:color w:val="000000"/>
          <w:sz w:val="24"/>
        </w:rPr>
        <w:t xml:space="preserve"> abogados de nuestros nueve representados presentaron sus recursos de casación en abril de 2017, y, si bien todos fueron admitidos de mero tr</w:t>
      </w:r>
      <w:r w:rsidRPr="00AF176A">
        <w:rPr>
          <w:rFonts w:ascii="Times New Roman" w:hAnsi="Times New Roman"/>
          <w:sz w:val="24"/>
        </w:rPr>
        <w:t>ámite</w:t>
      </w:r>
      <w:r w:rsidRPr="00AF176A">
        <w:rPr>
          <w:rFonts w:ascii="Times New Roman" w:hAnsi="Times New Roman"/>
          <w:color w:val="000000"/>
          <w:sz w:val="24"/>
        </w:rPr>
        <w:t xml:space="preserve"> entre finales de abril y mayo de ese mismo año, hasta la fecha de esta comunicación no se ha convocado siquiera a una audiencia de casación. Esto hace que el proceso siga </w:t>
      </w:r>
      <w:proofErr w:type="gramStart"/>
      <w:r w:rsidRPr="00AF176A">
        <w:rPr>
          <w:rFonts w:ascii="Times New Roman" w:hAnsi="Times New Roman"/>
          <w:color w:val="000000"/>
          <w:sz w:val="24"/>
        </w:rPr>
        <w:t>abierto</w:t>
      </w:r>
      <w:proofErr w:type="gramEnd"/>
      <w:r w:rsidRPr="00AF176A">
        <w:rPr>
          <w:rFonts w:ascii="Times New Roman" w:hAnsi="Times New Roman"/>
          <w:color w:val="000000"/>
          <w:sz w:val="24"/>
        </w:rPr>
        <w:t xml:space="preserve"> es</w:t>
      </w:r>
      <w:r>
        <w:rPr>
          <w:rFonts w:ascii="Times New Roman" w:eastAsia="Times New Roman" w:hAnsi="Times New Roman" w:cs="Times New Roman"/>
          <w:color w:val="000000"/>
          <w:sz w:val="24"/>
          <w:szCs w:val="24"/>
        </w:rPr>
        <w:t xml:space="preserve"> decir</w:t>
      </w:r>
      <w:r w:rsidRPr="00AF176A">
        <w:rPr>
          <w:rFonts w:ascii="Times New Roman" w:hAnsi="Times New Roman"/>
          <w:color w:val="000000"/>
          <w:sz w:val="24"/>
        </w:rPr>
        <w:t xml:space="preserve">, que no exista un fallo definitivo después de más de siete años, lo cual es excesivo e irrazonable. </w:t>
      </w:r>
    </w:p>
    <w:p w14:paraId="36ADA997" w14:textId="060FE3CF" w:rsidR="00D55D36" w:rsidRDefault="005B5684" w:rsidP="00F50CC7">
      <w:pPr>
        <w:pStyle w:val="Ttulo3"/>
        <w:numPr>
          <w:ilvl w:val="1"/>
          <w:numId w:val="9"/>
        </w:numPr>
        <w:spacing w:before="0" w:after="120" w:line="240" w:lineRule="auto"/>
        <w:rPr>
          <w:rFonts w:ascii="Times New Roman" w:eastAsia="Times New Roman" w:hAnsi="Times New Roman" w:cs="Times New Roman"/>
          <w:i/>
          <w:color w:val="000000"/>
          <w:sz w:val="24"/>
          <w:szCs w:val="24"/>
        </w:rPr>
      </w:pPr>
      <w:bookmarkStart w:id="44" w:name="_heading=h.23ckvvd" w:colFirst="0" w:colLast="0"/>
      <w:bookmarkStart w:id="45" w:name="_Toc203004182"/>
      <w:bookmarkEnd w:id="44"/>
      <w:r w:rsidRPr="00AF176A">
        <w:rPr>
          <w:rFonts w:ascii="Times New Roman" w:hAnsi="Times New Roman"/>
          <w:i/>
          <w:color w:val="000000"/>
          <w:sz w:val="24"/>
        </w:rPr>
        <w:t>Violación al derecho a no ser obligados a declarar contra sí mismo ni a confesarse culpables (art. 14.3.g del Pacto)</w:t>
      </w:r>
      <w:bookmarkEnd w:id="45"/>
    </w:p>
    <w:p w14:paraId="3F4FC625" w14:textId="202CAF1B"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 xml:space="preserve">El Estado de Nicaragua, a través de la Policía Nacional, vulneró el artículo 14.3.g del Pacto </w:t>
      </w:r>
      <w:r w:rsidRPr="003F1D08">
        <w:rPr>
          <w:rFonts w:ascii="Times New Roman" w:hAnsi="Times New Roman" w:cs="Times New Roman"/>
          <w:sz w:val="24"/>
          <w:szCs w:val="24"/>
        </w:rPr>
        <w:t>contra</w:t>
      </w:r>
      <w:r w:rsidRPr="003F1D08">
        <w:rPr>
          <w:rFonts w:ascii="Times New Roman" w:hAnsi="Times New Roman"/>
          <w:color w:val="000000"/>
          <w:sz w:val="28"/>
          <w:szCs w:val="24"/>
        </w:rPr>
        <w:t xml:space="preserve"> </w:t>
      </w:r>
      <w:r w:rsidRPr="00AF176A">
        <w:rPr>
          <w:rFonts w:ascii="Times New Roman" w:hAnsi="Times New Roman"/>
          <w:color w:val="000000"/>
          <w:sz w:val="24"/>
        </w:rPr>
        <w:t>l</w:t>
      </w:r>
      <w:r w:rsidR="003F1D08">
        <w:rPr>
          <w:rFonts w:ascii="Times New Roman" w:hAnsi="Times New Roman"/>
          <w:color w:val="000000"/>
          <w:sz w:val="24"/>
        </w:rPr>
        <w:t>a</w:t>
      </w:r>
      <w:r w:rsidRPr="00AF176A">
        <w:rPr>
          <w:rFonts w:ascii="Times New Roman" w:hAnsi="Times New Roman"/>
          <w:color w:val="000000"/>
          <w:sz w:val="24"/>
        </w:rPr>
        <w:t>s nueve víctimas al torturarlas cruelmente para obligarlos a autoinculparse de hechos que no cometieron.</w:t>
      </w:r>
      <w:r w:rsidR="007058D3">
        <w:rPr>
          <w:rFonts w:ascii="Times New Roman" w:hAnsi="Times New Roman"/>
          <w:color w:val="000000"/>
          <w:sz w:val="24"/>
        </w:rPr>
        <w:t xml:space="preserve"> I</w:t>
      </w:r>
      <w:r w:rsidRPr="00AF176A">
        <w:rPr>
          <w:rFonts w:ascii="Times New Roman" w:hAnsi="Times New Roman"/>
          <w:color w:val="000000"/>
          <w:sz w:val="24"/>
        </w:rPr>
        <w:t>ncluso, tres de las nueve víctimas (Eddy Gutiérrez, Wilfredo Balmaceda y Jairo Obando) dijeron en el juicio de que habían sido torturados en casas desconocidas (mientras permanecían desaparecidos) por el jefe policial Ramón Avellán</w:t>
      </w:r>
      <w:r>
        <w:rPr>
          <w:rFonts w:ascii="Times New Roman" w:eastAsia="Times New Roman" w:hAnsi="Times New Roman" w:cs="Times New Roman"/>
          <w:color w:val="000000"/>
          <w:sz w:val="24"/>
          <w:szCs w:val="24"/>
          <w:vertAlign w:val="superscript"/>
        </w:rPr>
        <w:footnoteReference w:id="80"/>
      </w:r>
      <w:r w:rsidRPr="00AF176A">
        <w:rPr>
          <w:rFonts w:ascii="Times New Roman" w:hAnsi="Times New Roman"/>
          <w:color w:val="000000"/>
          <w:sz w:val="24"/>
        </w:rPr>
        <w:t>, pero esto no fue tomado en cuenta por la autoridad de primera ni la de segunda instancia que declaró no ha lugar los recursos de apelación presentados a favor de nuestros representados.</w:t>
      </w:r>
    </w:p>
    <w:p w14:paraId="72714D6F" w14:textId="5682AC8A" w:rsidR="00D55D36" w:rsidRDefault="005B5684" w:rsidP="00F50CC7">
      <w:pPr>
        <w:pStyle w:val="Ttulo3"/>
        <w:numPr>
          <w:ilvl w:val="1"/>
          <w:numId w:val="9"/>
        </w:numPr>
        <w:spacing w:before="0" w:after="120" w:line="240" w:lineRule="auto"/>
        <w:rPr>
          <w:rFonts w:ascii="Times New Roman" w:eastAsia="Times New Roman" w:hAnsi="Times New Roman" w:cs="Times New Roman"/>
          <w:i/>
          <w:color w:val="000000"/>
          <w:sz w:val="24"/>
          <w:szCs w:val="24"/>
        </w:rPr>
      </w:pPr>
      <w:bookmarkStart w:id="46" w:name="_heading=h.ihv636" w:colFirst="0" w:colLast="0"/>
      <w:bookmarkStart w:id="47" w:name="_Toc203004183"/>
      <w:bookmarkEnd w:id="46"/>
      <w:r w:rsidRPr="00AF176A">
        <w:rPr>
          <w:rFonts w:ascii="Times New Roman" w:hAnsi="Times New Roman"/>
          <w:i/>
          <w:color w:val="000000"/>
          <w:sz w:val="24"/>
        </w:rPr>
        <w:t>Violación a las garantías de motivación del fallo y de recurrir el fallo (art. 14.5 del Pacto)</w:t>
      </w:r>
      <w:bookmarkEnd w:id="47"/>
    </w:p>
    <w:p w14:paraId="7FB48CE9" w14:textId="11B73818" w:rsidR="00D55D36" w:rsidRDefault="005B5684" w:rsidP="007B7A01">
      <w:pP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El derecho de un fallo motivado no está explícitamente contenido en el Pacto ni en la DUDH; sin embargo, la jurisprudencia internacional lo ha reconocido a través de la garantía de recurrir al fallo, pues la falta de motivación tiene “un impacto directo en el ejercicio de los derechos a la defensa y a recurrir el fallo, ya que dificult</w:t>
      </w:r>
      <w:r w:rsidR="008D2889">
        <w:rPr>
          <w:rFonts w:ascii="Times New Roman" w:hAnsi="Times New Roman"/>
          <w:color w:val="000000"/>
          <w:sz w:val="24"/>
        </w:rPr>
        <w:t>a</w:t>
      </w:r>
      <w:r w:rsidRPr="00AF176A">
        <w:rPr>
          <w:rFonts w:ascii="Times New Roman" w:hAnsi="Times New Roman"/>
          <w:color w:val="000000"/>
          <w:sz w:val="24"/>
        </w:rPr>
        <w:t xml:space="preserve"> realizar un análisis a profundidad sobre la argumentación o evidencias directamente relacionadas con la acreditación del delito y la supuesta responsabilidad penal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81"/>
      </w:r>
      <w:r>
        <w:rPr>
          <w:rFonts w:ascii="Times New Roman" w:eastAsia="Times New Roman" w:hAnsi="Times New Roman" w:cs="Times New Roman"/>
          <w:color w:val="000000"/>
          <w:sz w:val="24"/>
          <w:szCs w:val="24"/>
        </w:rPr>
        <w:t xml:space="preserve">. </w:t>
      </w:r>
    </w:p>
    <w:p w14:paraId="4C8ED4EF" w14:textId="69E99CDA" w:rsidR="00D55D36" w:rsidRDefault="005B5684" w:rsidP="007B7A01">
      <w:pPr>
        <w:spacing w:after="120" w:line="240" w:lineRule="auto"/>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En el Caso Zegarra Marín Vs. Perú la Corte IDH declaró la responsabilidad internacional debido a que la sentencia de nivel interno no desprendía las razones por las cuales los jueces consideraron que los hechos atribuidos a la víctima se subsumían en las normas penales. Es decir,</w:t>
      </w:r>
    </w:p>
    <w:p w14:paraId="1E8BAC45" w14:textId="289746FD" w:rsidR="00D55D36" w:rsidRDefault="005B5684" w:rsidP="007B7A01">
      <w:pPr>
        <w:spacing w:after="120" w:line="240" w:lineRule="auto"/>
        <w:ind w:left="709" w:right="713"/>
        <w:jc w:val="both"/>
        <w:rPr>
          <w:rFonts w:ascii="Times New Roman" w:eastAsia="Times New Roman" w:hAnsi="Times New Roman" w:cs="Times New Roman"/>
          <w:color w:val="000000"/>
        </w:rPr>
      </w:pPr>
      <w:r w:rsidRPr="00AF176A">
        <w:rPr>
          <w:rFonts w:ascii="Times New Roman" w:hAnsi="Times New Roman"/>
          <w:color w:val="000000"/>
        </w:rPr>
        <w:t>del fallo no se deriva</w:t>
      </w:r>
      <w:r w:rsidR="00FA5D69">
        <w:rPr>
          <w:rFonts w:ascii="Times New Roman" w:hAnsi="Times New Roman"/>
          <w:color w:val="000000"/>
        </w:rPr>
        <w:t>ron</w:t>
      </w:r>
      <w:r w:rsidRPr="00AF176A">
        <w:rPr>
          <w:rFonts w:ascii="Times New Roman" w:hAnsi="Times New Roman"/>
          <w:color w:val="000000"/>
        </w:rPr>
        <w:t xml:space="preserve"> las circunstancias de tiempo, modo y lugar de la comisión de cada uno de dichos delitos, ni se refleja[ron] las razones de derecho que habrían sustentado la calificación jurídica de los mismos y si, en su caso, habría alguna evidencia que pudiera desvirtuar dicha calificación. En suma, no se desprende motivación alguna respecto de las consideraciones jurídicas sobre la tipicidad, su relación con las pruebas y su apreciación</w:t>
      </w:r>
      <w:r>
        <w:t>.</w:t>
      </w:r>
      <w:r>
        <w:rPr>
          <w:rFonts w:ascii="Times New Roman" w:eastAsia="Times New Roman" w:hAnsi="Times New Roman" w:cs="Times New Roman"/>
          <w:color w:val="000000"/>
          <w:vertAlign w:val="superscript"/>
        </w:rPr>
        <w:footnoteReference w:id="82"/>
      </w:r>
      <w:r>
        <w:rPr>
          <w:rFonts w:ascii="Times New Roman" w:eastAsia="Times New Roman" w:hAnsi="Times New Roman" w:cs="Times New Roman"/>
          <w:color w:val="000000"/>
        </w:rPr>
        <w:t xml:space="preserve">. </w:t>
      </w:r>
    </w:p>
    <w:p w14:paraId="6F5C8591" w14:textId="1CFA33E9" w:rsidR="00D55D36" w:rsidRDefault="005B5684" w:rsidP="007B7A01">
      <w:pPr>
        <w:spacing w:after="120" w:line="240" w:lineRule="auto"/>
        <w:ind w:right="4"/>
        <w:jc w:val="both"/>
        <w:rPr>
          <w:rFonts w:ascii="Times New Roman" w:eastAsia="Times New Roman" w:hAnsi="Times New Roman" w:cs="Times New Roman"/>
          <w:color w:val="000000"/>
          <w:sz w:val="24"/>
          <w:szCs w:val="24"/>
        </w:rPr>
      </w:pPr>
      <w:r w:rsidRPr="00AF176A">
        <w:rPr>
          <w:rFonts w:ascii="Times New Roman" w:hAnsi="Times New Roman"/>
          <w:color w:val="000000"/>
          <w:sz w:val="24"/>
        </w:rPr>
        <w:t xml:space="preserve">Consecuentemente, en el caso </w:t>
      </w:r>
      <w:r w:rsidRPr="00AF176A">
        <w:rPr>
          <w:rFonts w:ascii="Times New Roman" w:hAnsi="Times New Roman"/>
          <w:i/>
          <w:color w:val="000000"/>
          <w:sz w:val="24"/>
        </w:rPr>
        <w:t>sub judice</w:t>
      </w:r>
      <w:r w:rsidRPr="00AF176A">
        <w:rPr>
          <w:rFonts w:ascii="Times New Roman" w:hAnsi="Times New Roman"/>
          <w:color w:val="000000"/>
          <w:sz w:val="24"/>
        </w:rPr>
        <w:t xml:space="preserve"> consideramos que se han vulnerado ambas garantías debido a que, </w:t>
      </w:r>
      <w:r w:rsidRPr="00AF176A">
        <w:rPr>
          <w:rFonts w:ascii="Times New Roman" w:hAnsi="Times New Roman"/>
          <w:i/>
          <w:color w:val="000000"/>
          <w:sz w:val="24"/>
        </w:rPr>
        <w:t>prima facie</w:t>
      </w:r>
      <w:r w:rsidRPr="00AF176A">
        <w:rPr>
          <w:rFonts w:ascii="Times New Roman" w:hAnsi="Times New Roman"/>
          <w:color w:val="000000"/>
          <w:sz w:val="24"/>
        </w:rPr>
        <w:t xml:space="preserve">, a todas las víctimas (excepto al señor José Olivar Meza) se les condenó, </w:t>
      </w:r>
      <w:r w:rsidRPr="00AF176A">
        <w:rPr>
          <w:rFonts w:ascii="Times New Roman" w:hAnsi="Times New Roman"/>
          <w:i/>
          <w:color w:val="000000"/>
          <w:sz w:val="24"/>
        </w:rPr>
        <w:t xml:space="preserve">inter </w:t>
      </w:r>
      <w:proofErr w:type="spellStart"/>
      <w:r w:rsidRPr="00AF176A">
        <w:rPr>
          <w:rFonts w:ascii="Times New Roman" w:hAnsi="Times New Roman"/>
          <w:i/>
          <w:color w:val="000000"/>
          <w:sz w:val="24"/>
        </w:rPr>
        <w:t>alia</w:t>
      </w:r>
      <w:proofErr w:type="spellEnd"/>
      <w:r w:rsidRPr="00AF176A">
        <w:rPr>
          <w:rFonts w:ascii="Times New Roman" w:hAnsi="Times New Roman"/>
          <w:color w:val="000000"/>
          <w:sz w:val="24"/>
        </w:rPr>
        <w:t>, por el delito de crimen organizado, aunque las presuntas conductas delictivas (fabricadas por la policía) no se circunscribían a dicho tipo penal. Según nos ilustra el artículo 2.a) de la Convención de las Naciones Unidas contra la Delincuencia Organizada Transnacional, por grupo delictivo organizado debe entenderse</w:t>
      </w:r>
    </w:p>
    <w:p w14:paraId="4B7CF5D9" w14:textId="77777777" w:rsidR="00D55D36" w:rsidRDefault="005B5684" w:rsidP="007B7A01">
      <w:pPr>
        <w:tabs>
          <w:tab w:val="left" w:pos="8647"/>
        </w:tabs>
        <w:spacing w:after="120" w:line="240" w:lineRule="auto"/>
        <w:ind w:left="709"/>
        <w:jc w:val="both"/>
        <w:rPr>
          <w:rFonts w:ascii="Times New Roman" w:eastAsia="Times New Roman" w:hAnsi="Times New Roman" w:cs="Times New Roman"/>
          <w:color w:val="000000"/>
        </w:rPr>
      </w:pPr>
      <w:r w:rsidRPr="00AF176A">
        <w:rPr>
          <w:rFonts w:ascii="Times New Roman" w:hAnsi="Times New Roman"/>
          <w:color w:val="000000"/>
        </w:rPr>
        <w:lastRenderedPageBreak/>
        <w:t>un grupo estructurado de tres o más personas que exista durante cierto tiempo y que actúe concertadamente con el propósito de cometer uno o más delitos graves o delitos tipificados con arreglo a la presente Convención con miras a obtener, directa o indirectamente, un beneficio económico u otro beneficio de orden material</w:t>
      </w:r>
      <w:r>
        <w:rPr>
          <w:rFonts w:ascii="Times New Roman" w:eastAsia="Times New Roman" w:hAnsi="Times New Roman" w:cs="Times New Roman"/>
          <w:color w:val="000000"/>
          <w:vertAlign w:val="superscript"/>
        </w:rPr>
        <w:footnoteReference w:id="83"/>
      </w:r>
      <w:r w:rsidRPr="00AF176A">
        <w:rPr>
          <w:rFonts w:ascii="Times New Roman" w:hAnsi="Times New Roman"/>
          <w:color w:val="000000"/>
        </w:rPr>
        <w:t>.</w:t>
      </w:r>
    </w:p>
    <w:p w14:paraId="13F06E83" w14:textId="1192230B"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F176A">
        <w:rPr>
          <w:rFonts w:ascii="Times New Roman" w:hAnsi="Times New Roman"/>
          <w:color w:val="000000"/>
          <w:sz w:val="24"/>
        </w:rPr>
        <w:t>En ese sentido, afirmamos que la condena por crimen organizado de ocho de las nueve víctimas (todos excepto el señor José Meza), fue totalmente arbitraria, ya que en ningún momento la sentencia motivó cuál era el beneficio de la presunta banda criminal, por lo que dichas presuntas conductas no encuadran con el tipo penal.</w:t>
      </w:r>
    </w:p>
    <w:p w14:paraId="09CC418E" w14:textId="217417DA" w:rsidR="00D55D36" w:rsidRDefault="005B5684" w:rsidP="007B7A01">
      <w:pPr>
        <w:pBdr>
          <w:top w:val="nil"/>
          <w:left w:val="nil"/>
          <w:bottom w:val="nil"/>
          <w:right w:val="nil"/>
          <w:between w:val="nil"/>
        </w:pBd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t xml:space="preserve">En segundo lugar, la violación a dichas garantías se dio toda vez las autoridades de </w:t>
      </w:r>
      <w:r w:rsidR="00145ECF">
        <w:rPr>
          <w:rFonts w:ascii="Times New Roman" w:hAnsi="Times New Roman"/>
          <w:sz w:val="24"/>
        </w:rPr>
        <w:t>1era y 2da instancia</w:t>
      </w:r>
      <w:r w:rsidRPr="00AF176A">
        <w:rPr>
          <w:rFonts w:ascii="Times New Roman" w:hAnsi="Times New Roman"/>
          <w:sz w:val="24"/>
        </w:rPr>
        <w:t xml:space="preserve"> fueron incapaces de fundamentar un fallo de culpabilidad a la luz de las pruebas de descargo ignoradas y teniendo en cuenta que nuestros nueve representados fueron torturados para que se autoinculparan. Para muestra de esto, es sorprendente cómo </w:t>
      </w:r>
      <w:r w:rsidR="00145ECF">
        <w:rPr>
          <w:rFonts w:ascii="Times New Roman" w:hAnsi="Times New Roman"/>
          <w:sz w:val="24"/>
        </w:rPr>
        <w:t>la Sala Penal 2 del T</w:t>
      </w:r>
      <w:r w:rsidRPr="00AF176A">
        <w:rPr>
          <w:rFonts w:ascii="Times New Roman" w:hAnsi="Times New Roman"/>
          <w:sz w:val="24"/>
        </w:rPr>
        <w:t xml:space="preserve">ribunal de Apelaciones </w:t>
      </w:r>
      <w:r w:rsidR="00145ECF">
        <w:rPr>
          <w:rFonts w:ascii="Times New Roman" w:hAnsi="Times New Roman"/>
          <w:sz w:val="24"/>
        </w:rPr>
        <w:t xml:space="preserve">de Managua </w:t>
      </w:r>
      <w:r w:rsidRPr="00AF176A">
        <w:rPr>
          <w:rFonts w:ascii="Times New Roman" w:hAnsi="Times New Roman"/>
          <w:sz w:val="24"/>
        </w:rPr>
        <w:t xml:space="preserve">declaró no ha lugar los recursos de apelación sosteniendo que no existía ninguna violación al debido proceso. Además, las autoridades de </w:t>
      </w:r>
      <w:r w:rsidR="00145ECF">
        <w:rPr>
          <w:rFonts w:ascii="Times New Roman" w:hAnsi="Times New Roman"/>
          <w:sz w:val="24"/>
        </w:rPr>
        <w:t>1era y 2da</w:t>
      </w:r>
      <w:r w:rsidRPr="00AF176A">
        <w:rPr>
          <w:rFonts w:ascii="Times New Roman" w:hAnsi="Times New Roman"/>
          <w:sz w:val="24"/>
        </w:rPr>
        <w:t xml:space="preserve"> instancia no fueron capaces de motivar la autoría directa del señor Eddy Gutiérrez en el ataque del 19 de julio de 2014, quien demostró con una foto y con testigos que al momento de ese ataque estaba con su familia</w:t>
      </w:r>
      <w:r>
        <w:rPr>
          <w:rFonts w:ascii="Times New Roman" w:eastAsia="Times New Roman" w:hAnsi="Times New Roman" w:cs="Times New Roman"/>
          <w:sz w:val="24"/>
          <w:szCs w:val="24"/>
          <w:vertAlign w:val="superscript"/>
        </w:rPr>
        <w:footnoteReference w:id="84"/>
      </w:r>
      <w:r>
        <w:rPr>
          <w:rFonts w:ascii="Times New Roman" w:eastAsia="Times New Roman" w:hAnsi="Times New Roman" w:cs="Times New Roman"/>
          <w:sz w:val="24"/>
          <w:szCs w:val="24"/>
        </w:rPr>
        <w:t xml:space="preserve">. </w:t>
      </w:r>
    </w:p>
    <w:p w14:paraId="0B2C5689" w14:textId="3426BF8A" w:rsidR="00D55D36" w:rsidRDefault="005B5684" w:rsidP="004A3166">
      <w:pPr>
        <w:pStyle w:val="Ttulo1"/>
        <w:numPr>
          <w:ilvl w:val="0"/>
          <w:numId w:val="12"/>
        </w:numPr>
        <w:spacing w:before="0" w:after="120" w:line="240" w:lineRule="auto"/>
        <w:rPr>
          <w:rFonts w:ascii="Times New Roman" w:eastAsia="Times New Roman" w:hAnsi="Times New Roman" w:cs="Times New Roman"/>
          <w:sz w:val="24"/>
          <w:szCs w:val="24"/>
        </w:rPr>
      </w:pPr>
      <w:bookmarkStart w:id="48" w:name="_heading=h.32hioqz" w:colFirst="0" w:colLast="0"/>
      <w:bookmarkStart w:id="49" w:name="_Toc203004184"/>
      <w:bookmarkEnd w:id="48"/>
      <w:r w:rsidRPr="00AF176A">
        <w:rPr>
          <w:rFonts w:ascii="Times New Roman" w:hAnsi="Times New Roman"/>
          <w:b/>
          <w:color w:val="000000"/>
          <w:sz w:val="24"/>
        </w:rPr>
        <w:t>Autoridades responsables de la arbitraria privación de la libertad</w:t>
      </w:r>
      <w:bookmarkEnd w:id="49"/>
    </w:p>
    <w:p w14:paraId="3F007247" w14:textId="6C550986" w:rsidR="00D55D36" w:rsidRDefault="0089610F" w:rsidP="007B7A01">
      <w:pPr>
        <w:spacing w:after="120" w:line="240" w:lineRule="auto"/>
        <w:jc w:val="both"/>
        <w:rPr>
          <w:rFonts w:ascii="Times New Roman" w:eastAsia="Times New Roman" w:hAnsi="Times New Roman" w:cs="Times New Roman"/>
          <w:sz w:val="24"/>
          <w:szCs w:val="24"/>
        </w:rPr>
      </w:pPr>
      <w:r>
        <w:rPr>
          <w:rFonts w:ascii="Times New Roman" w:hAnsi="Times New Roman"/>
          <w:sz w:val="24"/>
        </w:rPr>
        <w:t xml:space="preserve"> </w:t>
      </w:r>
      <w:r w:rsidR="005B5684" w:rsidRPr="00AF176A">
        <w:rPr>
          <w:rFonts w:ascii="Times New Roman" w:hAnsi="Times New Roman"/>
          <w:sz w:val="24"/>
        </w:rPr>
        <w:t xml:space="preserve">Sobre </w:t>
      </w:r>
      <w:r w:rsidR="00B51B5E">
        <w:rPr>
          <w:rFonts w:ascii="Times New Roman" w:hAnsi="Times New Roman"/>
          <w:sz w:val="24"/>
        </w:rPr>
        <w:t>los arrestos,</w:t>
      </w:r>
      <w:r w:rsidR="005B5684" w:rsidRPr="00AF176A">
        <w:rPr>
          <w:rFonts w:ascii="Times New Roman" w:hAnsi="Times New Roman"/>
          <w:sz w:val="24"/>
        </w:rPr>
        <w:t xml:space="preserve"> torturas y reclusión en las celdas de la </w:t>
      </w:r>
      <w:r w:rsidR="00AD4CA6">
        <w:rPr>
          <w:rFonts w:ascii="Times New Roman" w:hAnsi="Times New Roman"/>
          <w:sz w:val="24"/>
        </w:rPr>
        <w:t>DAJ</w:t>
      </w:r>
      <w:r w:rsidR="005B5684" w:rsidRPr="00AF176A">
        <w:rPr>
          <w:rFonts w:ascii="Times New Roman" w:hAnsi="Times New Roman"/>
          <w:sz w:val="24"/>
        </w:rPr>
        <w:t xml:space="preserve"> en 2014: Comisionado Ramón Antonio Avellán </w:t>
      </w:r>
      <w:proofErr w:type="spellStart"/>
      <w:r w:rsidR="005B5684" w:rsidRPr="00AF176A">
        <w:rPr>
          <w:rFonts w:ascii="Times New Roman" w:hAnsi="Times New Roman"/>
          <w:sz w:val="24"/>
        </w:rPr>
        <w:t>Medal</w:t>
      </w:r>
      <w:proofErr w:type="spellEnd"/>
      <w:r w:rsidR="005B5684" w:rsidRPr="00AF176A">
        <w:rPr>
          <w:rFonts w:ascii="Times New Roman" w:hAnsi="Times New Roman"/>
          <w:sz w:val="24"/>
        </w:rPr>
        <w:t xml:space="preserve">, que en 2014 era el jefe de la </w:t>
      </w:r>
      <w:r w:rsidR="00AD4CA6">
        <w:rPr>
          <w:rFonts w:ascii="Times New Roman" w:hAnsi="Times New Roman"/>
          <w:sz w:val="24"/>
        </w:rPr>
        <w:t>DAJ</w:t>
      </w:r>
      <w:r w:rsidR="005B5684" w:rsidRPr="00AF176A">
        <w:rPr>
          <w:rFonts w:ascii="Times New Roman" w:hAnsi="Times New Roman"/>
          <w:sz w:val="24"/>
        </w:rPr>
        <w:t xml:space="preserve"> y fue identificado por las víctimas como su torturador directo tras los arrestos. </w:t>
      </w:r>
      <w:r w:rsidR="00B51B5E">
        <w:rPr>
          <w:rFonts w:ascii="Times New Roman" w:hAnsi="Times New Roman"/>
          <w:sz w:val="24"/>
        </w:rPr>
        <w:t>Hoy en día</w:t>
      </w:r>
      <w:r w:rsidR="005B5684" w:rsidRPr="00AF176A">
        <w:rPr>
          <w:rFonts w:ascii="Times New Roman" w:hAnsi="Times New Roman"/>
          <w:sz w:val="24"/>
        </w:rPr>
        <w:t xml:space="preserve"> es el </w:t>
      </w:r>
      <w:proofErr w:type="gramStart"/>
      <w:r w:rsidR="005B5684" w:rsidRPr="00AF176A">
        <w:rPr>
          <w:rFonts w:ascii="Times New Roman" w:hAnsi="Times New Roman"/>
          <w:sz w:val="24"/>
        </w:rPr>
        <w:t>Subdirector</w:t>
      </w:r>
      <w:proofErr w:type="gramEnd"/>
      <w:r w:rsidR="005B5684" w:rsidRPr="00AF176A">
        <w:rPr>
          <w:rFonts w:ascii="Times New Roman" w:hAnsi="Times New Roman"/>
          <w:sz w:val="24"/>
        </w:rPr>
        <w:t xml:space="preserve"> de la Policía Nac</w:t>
      </w:r>
      <w:r>
        <w:rPr>
          <w:rFonts w:ascii="Times New Roman" w:hAnsi="Times New Roman"/>
          <w:sz w:val="24"/>
        </w:rPr>
        <w:t>ional.</w:t>
      </w:r>
    </w:p>
    <w:p w14:paraId="0F2CE397" w14:textId="61E948FE" w:rsidR="00D55D36" w:rsidRDefault="005B5684" w:rsidP="007B7A01">
      <w:pP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t xml:space="preserve">Sobre las arbitrariedades del proceso penal en su contra: i) Juez  Wilford Ramsés Bustamante, suplente del Juzgado Único de Distrito Penal de Audiencias de Matagalpa que abrió el proceso penal al admitir la acusación contra Walter Balmaceda el 26 de julio de 2014, y fue quien decretó su prisión preventiva; </w:t>
      </w:r>
      <w:proofErr w:type="spellStart"/>
      <w:r w:rsidRPr="00AF176A">
        <w:rPr>
          <w:rFonts w:ascii="Times New Roman" w:hAnsi="Times New Roman"/>
          <w:sz w:val="24"/>
        </w:rPr>
        <w:t>ii</w:t>
      </w:r>
      <w:proofErr w:type="spellEnd"/>
      <w:r w:rsidRPr="00AF176A">
        <w:rPr>
          <w:rFonts w:ascii="Times New Roman" w:hAnsi="Times New Roman"/>
          <w:sz w:val="24"/>
        </w:rPr>
        <w:t xml:space="preserve">) Juez Henry Morales Olivares, titular del Juzgado Sexto Distrito Penal de Audiencias de Managua, por admitir las acusaciones en contra de nuestros otros ocho representados, decretar su prisión preventiva y remitirlos a juicio; </w:t>
      </w:r>
      <w:proofErr w:type="spellStart"/>
      <w:r w:rsidRPr="00AF176A">
        <w:rPr>
          <w:rFonts w:ascii="Times New Roman" w:hAnsi="Times New Roman"/>
          <w:sz w:val="24"/>
        </w:rPr>
        <w:t>iii</w:t>
      </w:r>
      <w:proofErr w:type="spellEnd"/>
      <w:r w:rsidRPr="00AF176A">
        <w:rPr>
          <w:rFonts w:ascii="Times New Roman" w:hAnsi="Times New Roman"/>
          <w:sz w:val="24"/>
        </w:rPr>
        <w:t xml:space="preserve">) Juez Edgard Orlando Altamirano López, quien celebró el juicio y condenó arbitrariamente a las nueve víctimas; </w:t>
      </w:r>
      <w:proofErr w:type="spellStart"/>
      <w:r w:rsidRPr="00AF176A">
        <w:rPr>
          <w:rFonts w:ascii="Times New Roman" w:hAnsi="Times New Roman"/>
          <w:sz w:val="24"/>
        </w:rPr>
        <w:t>iv</w:t>
      </w:r>
      <w:proofErr w:type="spellEnd"/>
      <w:r w:rsidRPr="00AF176A">
        <w:rPr>
          <w:rFonts w:ascii="Times New Roman" w:hAnsi="Times New Roman"/>
          <w:sz w:val="24"/>
        </w:rPr>
        <w:t xml:space="preserve">) </w:t>
      </w:r>
      <w:r w:rsidR="00145ECF">
        <w:rPr>
          <w:rFonts w:ascii="Times New Roman" w:hAnsi="Times New Roman"/>
          <w:sz w:val="24"/>
        </w:rPr>
        <w:t>Sala Penal 1 y 2 del Tribunal de Apelaciones de Managua</w:t>
      </w:r>
      <w:r w:rsidRPr="00AF176A">
        <w:rPr>
          <w:rFonts w:ascii="Times New Roman" w:hAnsi="Times New Roman"/>
          <w:sz w:val="24"/>
        </w:rPr>
        <w:t>, por rechazar los recursos de exhibición personal presentados a favor de las víctimas en 2014 y por fallar en contra de las apelaciones de nuestros representados; v) Corte Suprema de Justicia, por el retraso de más de 7 años sin resolver los recursos de casación.</w:t>
      </w:r>
    </w:p>
    <w:p w14:paraId="4823CA82" w14:textId="63F2916B" w:rsidR="00D55D36" w:rsidRDefault="005B5684" w:rsidP="007B7A01">
      <w:pP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t>Sobre las condiciones carcelarias infrahumanas en el penal La Modelo: Roberto Guevara, director de máxima seguridad en La Modelo y Julio Guillermo Orozco, actual jefe del Sistema Penitenciario Nacional. Ambos también son responsables por no liberar al señor José Olivar Meza a pesar de que su pena se cumplió el 27 de julio de 2024.</w:t>
      </w:r>
    </w:p>
    <w:p w14:paraId="201CAEFA" w14:textId="76AFFABB" w:rsidR="00D55D36" w:rsidRDefault="005B5684" w:rsidP="007B7A01">
      <w:pPr>
        <w:spacing w:after="120" w:line="240" w:lineRule="auto"/>
        <w:jc w:val="both"/>
        <w:rPr>
          <w:rFonts w:ascii="Times New Roman" w:eastAsia="Times New Roman" w:hAnsi="Times New Roman" w:cs="Times New Roman"/>
          <w:sz w:val="24"/>
          <w:szCs w:val="24"/>
        </w:rPr>
      </w:pPr>
      <w:r w:rsidRPr="00AF176A">
        <w:rPr>
          <w:rFonts w:ascii="Times New Roman" w:hAnsi="Times New Roman"/>
          <w:sz w:val="24"/>
        </w:rPr>
        <w:t>Daniel Ortega y Rosario Murillo, presidente y vicepresidenta actual de Nicaragua, ya que, según ha constado el GHREN</w:t>
      </w:r>
      <w:r>
        <w:rPr>
          <w:rFonts w:ascii="Times New Roman" w:eastAsia="Times New Roman" w:hAnsi="Times New Roman" w:cs="Times New Roman"/>
          <w:sz w:val="24"/>
          <w:szCs w:val="24"/>
          <w:vertAlign w:val="superscript"/>
        </w:rPr>
        <w:footnoteReference w:id="85"/>
      </w:r>
      <w:r w:rsidRPr="00AF176A">
        <w:rPr>
          <w:rFonts w:ascii="Times New Roman" w:hAnsi="Times New Roman"/>
          <w:sz w:val="24"/>
        </w:rPr>
        <w:t>, los casos de graves violaciones a derechos humanos por motivos políticos en el país son orquestados bajo sus órdenes.</w:t>
      </w:r>
    </w:p>
    <w:sectPr w:rsidR="00D55D36">
      <w:headerReference w:type="default" r:id="rId9"/>
      <w:footerReference w:type="default" r:id="rId10"/>
      <w:pgSz w:w="12240" w:h="15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09432" w14:textId="77777777" w:rsidR="00183210" w:rsidRDefault="00183210">
      <w:pPr>
        <w:spacing w:after="0" w:line="240" w:lineRule="auto"/>
      </w:pPr>
      <w:r>
        <w:separator/>
      </w:r>
    </w:p>
  </w:endnote>
  <w:endnote w:type="continuationSeparator" w:id="0">
    <w:p w14:paraId="3D70C07D" w14:textId="77777777" w:rsidR="00183210" w:rsidRDefault="00183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Noto Sans Symbols">
    <w:charset w:val="00"/>
    <w:family w:val="auto"/>
    <w:pitch w:val="default"/>
    <w:embedRegular r:id="rId1" w:fontKey="{048D4B97-ACB1-4D5F-ABC3-75E497930A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F369DD2-643D-4216-8840-848892C8D528}"/>
    <w:embedBold r:id="rId3" w:fontKey="{AB46D349-60D4-457E-BD0B-F479D7A8A595}"/>
    <w:embedItalic r:id="rId4" w:fontKey="{260097FD-E73C-4438-A6BA-95250F5B3D6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EA193D08-DA4F-4CF4-A5EB-7DF641D06F8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166279"/>
      <w:docPartObj>
        <w:docPartGallery w:val="Page Numbers (Bottom of Page)"/>
        <w:docPartUnique/>
      </w:docPartObj>
    </w:sdtPr>
    <w:sdtEndPr>
      <w:rPr>
        <w:rFonts w:ascii="Times New Roman" w:hAnsi="Times New Roman" w:cs="Times New Roman"/>
        <w:sz w:val="18"/>
        <w:szCs w:val="18"/>
      </w:rPr>
    </w:sdtEndPr>
    <w:sdtContent>
      <w:p w14:paraId="31671DE7" w14:textId="0122D05C" w:rsidR="00777570" w:rsidRPr="00777570" w:rsidRDefault="00777570">
        <w:pPr>
          <w:pStyle w:val="Piedepgina"/>
          <w:jc w:val="center"/>
          <w:rPr>
            <w:rFonts w:ascii="Times New Roman" w:hAnsi="Times New Roman" w:cs="Times New Roman"/>
            <w:sz w:val="18"/>
            <w:szCs w:val="18"/>
          </w:rPr>
        </w:pPr>
        <w:r w:rsidRPr="00777570">
          <w:rPr>
            <w:rFonts w:ascii="Times New Roman" w:hAnsi="Times New Roman" w:cs="Times New Roman"/>
            <w:sz w:val="18"/>
            <w:szCs w:val="18"/>
          </w:rPr>
          <w:fldChar w:fldCharType="begin"/>
        </w:r>
        <w:r w:rsidRPr="00777570">
          <w:rPr>
            <w:rFonts w:ascii="Times New Roman" w:hAnsi="Times New Roman" w:cs="Times New Roman"/>
            <w:sz w:val="18"/>
            <w:szCs w:val="18"/>
          </w:rPr>
          <w:instrText>PAGE   \* MERGEFORMAT</w:instrText>
        </w:r>
        <w:r w:rsidRPr="00777570">
          <w:rPr>
            <w:rFonts w:ascii="Times New Roman" w:hAnsi="Times New Roman" w:cs="Times New Roman"/>
            <w:sz w:val="18"/>
            <w:szCs w:val="18"/>
          </w:rPr>
          <w:fldChar w:fldCharType="separate"/>
        </w:r>
        <w:r w:rsidRPr="00777570">
          <w:rPr>
            <w:rFonts w:ascii="Times New Roman" w:hAnsi="Times New Roman" w:cs="Times New Roman"/>
            <w:sz w:val="18"/>
            <w:szCs w:val="18"/>
            <w:lang w:val="es-ES"/>
          </w:rPr>
          <w:t>2</w:t>
        </w:r>
        <w:r w:rsidRPr="00777570">
          <w:rPr>
            <w:rFonts w:ascii="Times New Roman" w:hAnsi="Times New Roman" w:cs="Times New Roman"/>
            <w:sz w:val="18"/>
            <w:szCs w:val="18"/>
          </w:rPr>
          <w:fldChar w:fldCharType="end"/>
        </w:r>
      </w:p>
    </w:sdtContent>
  </w:sdt>
  <w:p w14:paraId="73399BEE" w14:textId="77777777" w:rsidR="00777570" w:rsidRDefault="007775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E34CB" w14:textId="77777777" w:rsidR="00183210" w:rsidRDefault="00183210">
      <w:pPr>
        <w:spacing w:after="0" w:line="240" w:lineRule="auto"/>
      </w:pPr>
      <w:r>
        <w:separator/>
      </w:r>
    </w:p>
  </w:footnote>
  <w:footnote w:type="continuationSeparator" w:id="0">
    <w:p w14:paraId="614C22BC" w14:textId="77777777" w:rsidR="00183210" w:rsidRDefault="00183210">
      <w:pPr>
        <w:spacing w:after="0" w:line="240" w:lineRule="auto"/>
      </w:pPr>
      <w:r>
        <w:continuationSeparator/>
      </w:r>
    </w:p>
  </w:footnote>
  <w:footnote w:id="1">
    <w:p w14:paraId="75CD22EF" w14:textId="77777777" w:rsidR="004A3166" w:rsidRPr="00691EF3" w:rsidRDefault="004A3166" w:rsidP="004A3166">
      <w:pPr>
        <w:pStyle w:val="Textonotapie"/>
        <w:rPr>
          <w:rFonts w:ascii="Times New Roman" w:hAnsi="Times New Roman" w:cs="Times New Roman"/>
          <w:color w:val="auto"/>
          <w:sz w:val="18"/>
          <w:szCs w:val="18"/>
          <w:lang w:val="es-NI"/>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rPr>
        <w:t xml:space="preserve"> </w:t>
      </w:r>
      <w:r w:rsidRPr="00691EF3">
        <w:rPr>
          <w:rFonts w:ascii="Times New Roman" w:hAnsi="Times New Roman" w:cs="Times New Roman"/>
          <w:color w:val="auto"/>
          <w:sz w:val="18"/>
          <w:szCs w:val="18"/>
          <w:lang w:val="es-MX"/>
        </w:rPr>
        <w:t xml:space="preserve">La Prensa. La oposición en Ciudad Darío. 27 de diciembre de 2012. </w:t>
      </w:r>
      <w:hyperlink r:id="rId1" w:history="1">
        <w:r w:rsidRPr="00691EF3">
          <w:rPr>
            <w:rStyle w:val="Hipervnculo"/>
            <w:rFonts w:ascii="Times New Roman" w:hAnsi="Times New Roman" w:cs="Times New Roman"/>
            <w:color w:val="auto"/>
            <w:sz w:val="18"/>
            <w:szCs w:val="18"/>
            <w:lang w:val="es-NI"/>
          </w:rPr>
          <w:t>https://www.laprensani.com/2012/12/27/politica/128709-la-oposicion-en-ciudad-dario</w:t>
        </w:r>
      </w:hyperlink>
      <w:r w:rsidRPr="00691EF3">
        <w:rPr>
          <w:rFonts w:ascii="Times New Roman" w:hAnsi="Times New Roman" w:cs="Times New Roman"/>
          <w:color w:val="auto"/>
          <w:sz w:val="18"/>
          <w:szCs w:val="18"/>
          <w:lang w:val="es-NI"/>
        </w:rPr>
        <w:t xml:space="preserve"> </w:t>
      </w:r>
    </w:p>
  </w:footnote>
  <w:footnote w:id="2">
    <w:p w14:paraId="59C21BF7" w14:textId="77777777" w:rsidR="004A3166" w:rsidRPr="00691EF3" w:rsidRDefault="004A3166" w:rsidP="004A3166">
      <w:pPr>
        <w:pStyle w:val="Textonotapie"/>
        <w:rPr>
          <w:rFonts w:ascii="Times New Roman" w:hAnsi="Times New Roman" w:cs="Times New Roman"/>
          <w:color w:val="auto"/>
          <w:sz w:val="18"/>
          <w:szCs w:val="18"/>
          <w:lang w:val="es-NI"/>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lang w:val="es-NI"/>
        </w:rPr>
        <w:t xml:space="preserve"> </w:t>
      </w:r>
      <w:r w:rsidRPr="00691EF3">
        <w:rPr>
          <w:rFonts w:ascii="Times New Roman" w:hAnsi="Times New Roman" w:cs="Times New Roman"/>
          <w:color w:val="auto"/>
          <w:sz w:val="18"/>
          <w:szCs w:val="18"/>
        </w:rPr>
        <w:t xml:space="preserve">Al respecto ver: </w:t>
      </w:r>
      <w:proofErr w:type="spellStart"/>
      <w:r w:rsidRPr="00691EF3">
        <w:rPr>
          <w:rFonts w:ascii="Times New Roman" w:hAnsi="Times New Roman" w:cs="Times New Roman"/>
          <w:i/>
          <w:iCs/>
          <w:color w:val="auto"/>
          <w:sz w:val="18"/>
          <w:szCs w:val="18"/>
        </w:rPr>
        <w:t>Idem</w:t>
      </w:r>
      <w:proofErr w:type="spellEnd"/>
      <w:r w:rsidRPr="00691EF3">
        <w:rPr>
          <w:rFonts w:ascii="Times New Roman" w:hAnsi="Times New Roman" w:cs="Times New Roman"/>
          <w:i/>
          <w:iCs/>
          <w:color w:val="auto"/>
          <w:sz w:val="18"/>
          <w:szCs w:val="18"/>
        </w:rPr>
        <w:t>.</w:t>
      </w:r>
    </w:p>
  </w:footnote>
  <w:footnote w:id="3">
    <w:p w14:paraId="06B7B75D" w14:textId="77777777" w:rsidR="004A3166" w:rsidRPr="00691EF3" w:rsidRDefault="004A3166" w:rsidP="004A3166">
      <w:pPr>
        <w:pStyle w:val="Textonotapie"/>
        <w:rPr>
          <w:rFonts w:ascii="Times New Roman" w:hAnsi="Times New Roman" w:cs="Times New Roman"/>
          <w:color w:val="auto"/>
          <w:sz w:val="18"/>
          <w:szCs w:val="18"/>
          <w:lang w:val="es-NI"/>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lang w:val="es-NI"/>
        </w:rPr>
        <w:t xml:space="preserve"> </w:t>
      </w:r>
      <w:r w:rsidRPr="00691EF3">
        <w:rPr>
          <w:rFonts w:ascii="Times New Roman" w:hAnsi="Times New Roman" w:cs="Times New Roman"/>
          <w:color w:val="auto"/>
          <w:sz w:val="18"/>
          <w:szCs w:val="18"/>
        </w:rPr>
        <w:t xml:space="preserve">Al respecto ver: </w:t>
      </w:r>
      <w:proofErr w:type="spellStart"/>
      <w:r w:rsidRPr="00691EF3">
        <w:rPr>
          <w:rFonts w:ascii="Times New Roman" w:hAnsi="Times New Roman" w:cs="Times New Roman"/>
          <w:i/>
          <w:iCs/>
          <w:color w:val="auto"/>
          <w:sz w:val="18"/>
          <w:szCs w:val="18"/>
        </w:rPr>
        <w:t>Idem</w:t>
      </w:r>
      <w:proofErr w:type="spellEnd"/>
      <w:r w:rsidRPr="00691EF3">
        <w:rPr>
          <w:rFonts w:ascii="Times New Roman" w:hAnsi="Times New Roman" w:cs="Times New Roman"/>
          <w:i/>
          <w:iCs/>
          <w:color w:val="auto"/>
          <w:sz w:val="18"/>
          <w:szCs w:val="18"/>
        </w:rPr>
        <w:t>.</w:t>
      </w:r>
    </w:p>
  </w:footnote>
  <w:footnote w:id="4">
    <w:p w14:paraId="51021C16" w14:textId="77777777" w:rsidR="004A3166" w:rsidRPr="00691EF3" w:rsidRDefault="004A3166" w:rsidP="004A3166">
      <w:pPr>
        <w:pStyle w:val="Textonotapie"/>
        <w:rPr>
          <w:rFonts w:ascii="Times New Roman" w:hAnsi="Times New Roman" w:cs="Times New Roman"/>
          <w:color w:val="auto"/>
          <w:sz w:val="18"/>
          <w:szCs w:val="18"/>
          <w:lang w:val="es-MX"/>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rPr>
        <w:t xml:space="preserve"> Al respecto ver: </w:t>
      </w:r>
      <w:proofErr w:type="spellStart"/>
      <w:r w:rsidRPr="00691EF3">
        <w:rPr>
          <w:rFonts w:ascii="Times New Roman" w:hAnsi="Times New Roman" w:cs="Times New Roman"/>
          <w:i/>
          <w:iCs/>
          <w:color w:val="auto"/>
          <w:sz w:val="18"/>
          <w:szCs w:val="18"/>
        </w:rPr>
        <w:t>Idem</w:t>
      </w:r>
      <w:proofErr w:type="spellEnd"/>
      <w:r w:rsidRPr="00691EF3">
        <w:rPr>
          <w:rFonts w:ascii="Times New Roman" w:hAnsi="Times New Roman" w:cs="Times New Roman"/>
          <w:i/>
          <w:iCs/>
          <w:color w:val="auto"/>
          <w:sz w:val="18"/>
          <w:szCs w:val="18"/>
        </w:rPr>
        <w:t>.</w:t>
      </w:r>
    </w:p>
  </w:footnote>
  <w:footnote w:id="5">
    <w:p w14:paraId="58FC65C3" w14:textId="77777777" w:rsidR="004A3166" w:rsidRPr="00691EF3" w:rsidRDefault="004A3166" w:rsidP="004A3166">
      <w:pPr>
        <w:pStyle w:val="Textonotapie"/>
        <w:rPr>
          <w:rFonts w:ascii="Times New Roman" w:hAnsi="Times New Roman" w:cs="Times New Roman"/>
          <w:color w:val="auto"/>
          <w:sz w:val="18"/>
          <w:szCs w:val="18"/>
          <w:lang w:val="es-MX"/>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rPr>
        <w:t xml:space="preserve"> </w:t>
      </w:r>
      <w:r w:rsidRPr="00691EF3">
        <w:rPr>
          <w:rFonts w:ascii="Times New Roman" w:hAnsi="Times New Roman" w:cs="Times New Roman"/>
          <w:color w:val="auto"/>
          <w:sz w:val="18"/>
          <w:szCs w:val="18"/>
          <w:lang w:val="es-MX"/>
        </w:rPr>
        <w:t xml:space="preserve">La Prensa. </w:t>
      </w:r>
      <w:r w:rsidRPr="00691EF3">
        <w:rPr>
          <w:rFonts w:ascii="Times New Roman" w:hAnsi="Times New Roman" w:cs="Times New Roman"/>
          <w:i/>
          <w:iCs/>
          <w:color w:val="auto"/>
          <w:sz w:val="18"/>
          <w:szCs w:val="18"/>
          <w:lang w:val="es-MX"/>
        </w:rPr>
        <w:t>Leonel Poveda, el preso político condenado a 133 años de cárcel</w:t>
      </w:r>
      <w:r w:rsidRPr="00691EF3">
        <w:rPr>
          <w:rFonts w:ascii="Times New Roman" w:hAnsi="Times New Roman" w:cs="Times New Roman"/>
          <w:color w:val="auto"/>
          <w:sz w:val="18"/>
          <w:szCs w:val="18"/>
          <w:lang w:val="es-MX"/>
        </w:rPr>
        <w:t xml:space="preserve">. 30 de octubre de 2024. </w:t>
      </w:r>
      <w:hyperlink r:id="rId2" w:history="1">
        <w:r w:rsidRPr="00691EF3">
          <w:rPr>
            <w:rStyle w:val="Hipervnculo"/>
            <w:rFonts w:ascii="Times New Roman" w:hAnsi="Times New Roman" w:cs="Times New Roman"/>
            <w:color w:val="auto"/>
            <w:sz w:val="18"/>
            <w:szCs w:val="18"/>
            <w:lang w:val="es-MX"/>
          </w:rPr>
          <w:t>https://www.laprensani.com/2024/10/30/derecho-humano-ni/3396042-leonel-poveda-el-preso-politico-condenado-a-133-anos-de-carcel</w:t>
        </w:r>
      </w:hyperlink>
      <w:r w:rsidRPr="00691EF3">
        <w:rPr>
          <w:rFonts w:ascii="Times New Roman" w:hAnsi="Times New Roman" w:cs="Times New Roman"/>
          <w:color w:val="auto"/>
          <w:sz w:val="18"/>
          <w:szCs w:val="18"/>
          <w:lang w:val="es-MX"/>
        </w:rPr>
        <w:t xml:space="preserve"> </w:t>
      </w:r>
    </w:p>
  </w:footnote>
  <w:footnote w:id="6">
    <w:p w14:paraId="65D8C7A6" w14:textId="77777777" w:rsidR="004A3166" w:rsidRPr="00691EF3" w:rsidRDefault="004A3166" w:rsidP="004A3166">
      <w:pPr>
        <w:pStyle w:val="Textonotapie"/>
        <w:rPr>
          <w:rFonts w:ascii="Times New Roman" w:hAnsi="Times New Roman" w:cs="Times New Roman"/>
          <w:color w:val="auto"/>
          <w:sz w:val="18"/>
          <w:szCs w:val="18"/>
        </w:rPr>
      </w:pPr>
      <w:r w:rsidRPr="00691EF3">
        <w:rPr>
          <w:rStyle w:val="Refdenotaalpie"/>
          <w:rFonts w:ascii="Times New Roman" w:hAnsi="Times New Roman" w:cs="Times New Roman"/>
          <w:color w:val="auto"/>
          <w:sz w:val="18"/>
          <w:szCs w:val="18"/>
        </w:rPr>
        <w:footnoteRef/>
      </w:r>
      <w:r w:rsidRPr="00691EF3">
        <w:rPr>
          <w:rFonts w:ascii="Times New Roman" w:hAnsi="Times New Roman" w:cs="Times New Roman"/>
          <w:color w:val="auto"/>
          <w:sz w:val="18"/>
          <w:szCs w:val="18"/>
        </w:rPr>
        <w:t xml:space="preserve"> Al respecto ver: </w:t>
      </w:r>
      <w:r w:rsidRPr="00691EF3">
        <w:rPr>
          <w:rFonts w:ascii="Times New Roman" w:hAnsi="Times New Roman" w:cs="Times New Roman"/>
          <w:color w:val="auto"/>
          <w:sz w:val="18"/>
          <w:szCs w:val="18"/>
          <w:lang w:val="es-MX"/>
        </w:rPr>
        <w:t xml:space="preserve">La Prensa. La oposición en Ciudad Darío. </w:t>
      </w:r>
      <w:r w:rsidRPr="00691EF3">
        <w:rPr>
          <w:rFonts w:ascii="Times New Roman" w:hAnsi="Times New Roman" w:cs="Times New Roman"/>
          <w:i/>
          <w:iCs/>
          <w:color w:val="auto"/>
          <w:sz w:val="18"/>
          <w:szCs w:val="18"/>
          <w:lang w:val="es-MX"/>
        </w:rPr>
        <w:t>Óp. Cit.</w:t>
      </w:r>
    </w:p>
  </w:footnote>
  <w:footnote w:id="7">
    <w:p w14:paraId="1E529FDA" w14:textId="338D6723"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1B5126">
        <w:rPr>
          <w:rFonts w:ascii="Times New Roman" w:hAnsi="Times New Roman" w:cs="Times New Roman"/>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19 Digital. </w:t>
      </w:r>
      <w:r w:rsidRPr="00B51B5E">
        <w:rPr>
          <w:rFonts w:ascii="Times New Roman" w:eastAsia="Times New Roman" w:hAnsi="Times New Roman" w:cs="Times New Roman"/>
          <w:i/>
          <w:color w:val="000000" w:themeColor="text1"/>
          <w:sz w:val="18"/>
          <w:szCs w:val="18"/>
        </w:rPr>
        <w:t>Compañera Rosario invita a celebrar este sábado 35 años de Revolución</w:t>
      </w:r>
      <w:r w:rsidRPr="00B51B5E">
        <w:rPr>
          <w:rFonts w:ascii="Times New Roman" w:eastAsia="Times New Roman" w:hAnsi="Times New Roman" w:cs="Times New Roman"/>
          <w:color w:val="000000" w:themeColor="text1"/>
          <w:sz w:val="18"/>
          <w:szCs w:val="18"/>
        </w:rPr>
        <w:t xml:space="preserve"> 16 de julio de 2014</w:t>
      </w:r>
      <w:r w:rsidR="00620343" w:rsidRPr="00B51B5E">
        <w:rPr>
          <w:rFonts w:ascii="Times New Roman" w:eastAsia="Times New Roman" w:hAnsi="Times New Roman" w:cs="Times New Roman"/>
          <w:color w:val="000000" w:themeColor="text1"/>
          <w:sz w:val="18"/>
          <w:szCs w:val="18"/>
        </w:rPr>
        <w:t xml:space="preserve">. </w:t>
      </w:r>
      <w:hyperlink r:id="rId3" w:history="1">
        <w:r w:rsidR="00620343" w:rsidRPr="00B51B5E">
          <w:rPr>
            <w:rStyle w:val="Hipervnculo"/>
            <w:rFonts w:ascii="Times New Roman" w:eastAsia="Times New Roman" w:hAnsi="Times New Roman" w:cs="Times New Roman"/>
            <w:color w:val="000000" w:themeColor="text1"/>
            <w:sz w:val="18"/>
            <w:szCs w:val="18"/>
          </w:rPr>
          <w:t>https://n9.cl/j6fno3</w:t>
        </w:r>
      </w:hyperlink>
      <w:r w:rsidR="00620343"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 El 19 Digital. </w:t>
      </w:r>
      <w:r w:rsidRPr="00B51B5E">
        <w:rPr>
          <w:rFonts w:ascii="Times New Roman" w:eastAsia="Times New Roman" w:hAnsi="Times New Roman" w:cs="Times New Roman"/>
          <w:i/>
          <w:color w:val="000000" w:themeColor="text1"/>
          <w:sz w:val="18"/>
          <w:szCs w:val="18"/>
        </w:rPr>
        <w:t>Daniel y Rosario presiden acto del 35/19 en Plaza de la Fe.</w:t>
      </w:r>
      <w:r w:rsidRPr="00B51B5E">
        <w:rPr>
          <w:rFonts w:ascii="Times New Roman" w:eastAsia="Times New Roman" w:hAnsi="Times New Roman" w:cs="Times New Roman"/>
          <w:color w:val="000000" w:themeColor="text1"/>
          <w:sz w:val="18"/>
          <w:szCs w:val="18"/>
        </w:rPr>
        <w:t xml:space="preserve"> 19 de julio de 2014. </w:t>
      </w:r>
      <w:hyperlink r:id="rId4" w:history="1">
        <w:r w:rsidR="00620343" w:rsidRPr="00B51B5E">
          <w:rPr>
            <w:rStyle w:val="Hipervnculo"/>
            <w:rFonts w:ascii="Times New Roman" w:hAnsi="Times New Roman" w:cs="Times New Roman"/>
            <w:color w:val="000000" w:themeColor="text1"/>
            <w:sz w:val="18"/>
            <w:szCs w:val="18"/>
          </w:rPr>
          <w:t>https://n9.cl/8uk0hu</w:t>
        </w:r>
      </w:hyperlink>
      <w:r w:rsidR="00620343" w:rsidRPr="00B51B5E">
        <w:rPr>
          <w:rFonts w:ascii="Times New Roman" w:hAnsi="Times New Roman" w:cs="Times New Roman"/>
          <w:color w:val="000000" w:themeColor="text1"/>
          <w:sz w:val="18"/>
          <w:szCs w:val="18"/>
        </w:rPr>
        <w:t xml:space="preserve"> </w:t>
      </w:r>
    </w:p>
  </w:footnote>
  <w:footnote w:id="8">
    <w:p w14:paraId="62CB2CFC" w14:textId="05F935BD"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lang w:val="de-DE"/>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Swissinfo.ch. </w:t>
      </w:r>
      <w:r w:rsidRPr="00B51B5E">
        <w:rPr>
          <w:rFonts w:ascii="Times New Roman" w:eastAsia="Times New Roman" w:hAnsi="Times New Roman" w:cs="Times New Roman"/>
          <w:i/>
          <w:color w:val="000000" w:themeColor="text1"/>
          <w:sz w:val="18"/>
          <w:szCs w:val="18"/>
        </w:rPr>
        <w:t xml:space="preserve">Cinco muertos y 24 heridos </w:t>
      </w:r>
      <w:proofErr w:type="gramStart"/>
      <w:r w:rsidRPr="00B51B5E">
        <w:rPr>
          <w:rFonts w:ascii="Times New Roman" w:eastAsia="Times New Roman" w:hAnsi="Times New Roman" w:cs="Times New Roman"/>
          <w:i/>
          <w:color w:val="000000" w:themeColor="text1"/>
          <w:sz w:val="18"/>
          <w:szCs w:val="18"/>
        </w:rPr>
        <w:t>deja</w:t>
      </w:r>
      <w:proofErr w:type="gramEnd"/>
      <w:r w:rsidRPr="00B51B5E">
        <w:rPr>
          <w:rFonts w:ascii="Times New Roman" w:eastAsia="Times New Roman" w:hAnsi="Times New Roman" w:cs="Times New Roman"/>
          <w:i/>
          <w:color w:val="000000" w:themeColor="text1"/>
          <w:sz w:val="18"/>
          <w:szCs w:val="18"/>
        </w:rPr>
        <w:t xml:space="preserve"> ataque contra partidarios sandinistas en Nicaragua</w:t>
      </w:r>
      <w:r w:rsidRPr="00B51B5E">
        <w:rPr>
          <w:rFonts w:ascii="Times New Roman" w:eastAsia="Times New Roman" w:hAnsi="Times New Roman" w:cs="Times New Roman"/>
          <w:color w:val="000000" w:themeColor="text1"/>
          <w:sz w:val="18"/>
          <w:szCs w:val="18"/>
        </w:rPr>
        <w:t xml:space="preserve">. 20 de julio de 2014. </w:t>
      </w:r>
      <w:hyperlink r:id="rId5" w:history="1">
        <w:r w:rsidR="00FB0773" w:rsidRPr="00B51B5E">
          <w:rPr>
            <w:rStyle w:val="Hipervnculo"/>
            <w:rFonts w:ascii="Times New Roman" w:eastAsia="Times New Roman" w:hAnsi="Times New Roman" w:cs="Times New Roman"/>
            <w:color w:val="000000" w:themeColor="text1"/>
            <w:sz w:val="18"/>
            <w:szCs w:val="18"/>
          </w:rPr>
          <w:t>https://n9.cl/tnjmq</w:t>
        </w:r>
      </w:hyperlink>
      <w:r w:rsidR="00FB0773"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La Prensa. </w:t>
      </w:r>
      <w:r w:rsidRPr="00B51B5E">
        <w:rPr>
          <w:rFonts w:ascii="Times New Roman" w:eastAsia="Times New Roman" w:hAnsi="Times New Roman" w:cs="Times New Roman"/>
          <w:i/>
          <w:color w:val="000000" w:themeColor="text1"/>
          <w:sz w:val="18"/>
          <w:szCs w:val="18"/>
        </w:rPr>
        <w:t>Brutal ataque a caravana sandinista en Matagalpa</w:t>
      </w:r>
      <w:r w:rsidRPr="00B51B5E">
        <w:rPr>
          <w:rFonts w:ascii="Times New Roman" w:eastAsia="Times New Roman" w:hAnsi="Times New Roman" w:cs="Times New Roman"/>
          <w:color w:val="000000" w:themeColor="text1"/>
          <w:sz w:val="18"/>
          <w:szCs w:val="18"/>
        </w:rPr>
        <w:t xml:space="preserve">. 21 de julio de 2014. </w:t>
      </w:r>
      <w:hyperlink r:id="rId6" w:history="1">
        <w:r w:rsidR="00620343" w:rsidRPr="00B51B5E">
          <w:rPr>
            <w:rStyle w:val="Hipervnculo"/>
            <w:rFonts w:ascii="Times New Roman" w:hAnsi="Times New Roman" w:cs="Times New Roman"/>
            <w:color w:val="000000" w:themeColor="text1"/>
            <w:sz w:val="18"/>
            <w:szCs w:val="18"/>
          </w:rPr>
          <w:t>https://n9.cl/vfqcl</w:t>
        </w:r>
      </w:hyperlink>
      <w:r w:rsidR="00620343" w:rsidRPr="00B51B5E">
        <w:rPr>
          <w:rFonts w:ascii="Times New Roman" w:hAnsi="Times New Roman" w:cs="Times New Roman"/>
          <w:color w:val="000000" w:themeColor="text1"/>
          <w:sz w:val="18"/>
          <w:szCs w:val="18"/>
        </w:rPr>
        <w:t xml:space="preserve"> </w:t>
      </w:r>
    </w:p>
  </w:footnote>
  <w:footnote w:id="9">
    <w:p w14:paraId="2789A1A1"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lang w:val="de-DE"/>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lang w:val="de-DE"/>
        </w:rPr>
        <w:t xml:space="preserve"> </w:t>
      </w:r>
      <w:r w:rsidRPr="00B51B5E">
        <w:rPr>
          <w:rFonts w:ascii="Times New Roman" w:eastAsia="Times New Roman" w:hAnsi="Times New Roman" w:cs="Times New Roman"/>
          <w:i/>
          <w:color w:val="000000" w:themeColor="text1"/>
          <w:sz w:val="18"/>
          <w:szCs w:val="18"/>
          <w:lang w:val="de-DE"/>
        </w:rPr>
        <w:t>Idem.</w:t>
      </w:r>
    </w:p>
  </w:footnote>
  <w:footnote w:id="10">
    <w:p w14:paraId="660A6E69" w14:textId="18A45240"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Swissinfo.ch. </w:t>
      </w:r>
      <w:r w:rsidRPr="00B51B5E">
        <w:rPr>
          <w:rFonts w:ascii="Times New Roman" w:eastAsia="Times New Roman" w:hAnsi="Times New Roman" w:cs="Times New Roman"/>
          <w:i/>
          <w:color w:val="000000" w:themeColor="text1"/>
          <w:sz w:val="18"/>
          <w:szCs w:val="18"/>
        </w:rPr>
        <w:t xml:space="preserve">Cinco muertos y 24 heridos </w:t>
      </w:r>
      <w:proofErr w:type="gramStart"/>
      <w:r w:rsidRPr="00B51B5E">
        <w:rPr>
          <w:rFonts w:ascii="Times New Roman" w:eastAsia="Times New Roman" w:hAnsi="Times New Roman" w:cs="Times New Roman"/>
          <w:i/>
          <w:color w:val="000000" w:themeColor="text1"/>
          <w:sz w:val="18"/>
          <w:szCs w:val="18"/>
        </w:rPr>
        <w:t>deja</w:t>
      </w:r>
      <w:proofErr w:type="gramEnd"/>
      <w:r w:rsidRPr="00B51B5E">
        <w:rPr>
          <w:rFonts w:ascii="Times New Roman" w:eastAsia="Times New Roman" w:hAnsi="Times New Roman" w:cs="Times New Roman"/>
          <w:i/>
          <w:color w:val="000000" w:themeColor="text1"/>
          <w:sz w:val="18"/>
          <w:szCs w:val="18"/>
        </w:rPr>
        <w:t xml:space="preserve"> ataque contra partidarios sandinistas en Nicaragua. Óp. </w:t>
      </w:r>
      <w:proofErr w:type="spellStart"/>
      <w:r w:rsidRPr="00B51B5E">
        <w:rPr>
          <w:rFonts w:ascii="Times New Roman" w:eastAsia="Times New Roman" w:hAnsi="Times New Roman" w:cs="Times New Roman"/>
          <w:i/>
          <w:color w:val="000000" w:themeColor="text1"/>
          <w:sz w:val="18"/>
          <w:szCs w:val="18"/>
        </w:rPr>
        <w:t>Cit</w:t>
      </w:r>
      <w:proofErr w:type="spellEnd"/>
      <w:r w:rsidRPr="00B51B5E">
        <w:rPr>
          <w:rFonts w:ascii="Times New Roman" w:eastAsia="Times New Roman" w:hAnsi="Times New Roman" w:cs="Times New Roman"/>
          <w:i/>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La Prensa. </w:t>
      </w:r>
      <w:r w:rsidRPr="00B51B5E">
        <w:rPr>
          <w:rFonts w:ascii="Times New Roman" w:eastAsia="Times New Roman" w:hAnsi="Times New Roman" w:cs="Times New Roman"/>
          <w:i/>
          <w:color w:val="000000" w:themeColor="text1"/>
          <w:sz w:val="18"/>
          <w:szCs w:val="18"/>
        </w:rPr>
        <w:t>CGN se distancia de sospechosos de matanza del 19 de julio</w:t>
      </w:r>
      <w:r w:rsidRPr="00B51B5E">
        <w:rPr>
          <w:rFonts w:ascii="Times New Roman" w:eastAsia="Times New Roman" w:hAnsi="Times New Roman" w:cs="Times New Roman"/>
          <w:color w:val="000000" w:themeColor="text1"/>
          <w:sz w:val="18"/>
          <w:szCs w:val="18"/>
        </w:rPr>
        <w:t xml:space="preserve">. 21 de julio de 2014. </w:t>
      </w:r>
      <w:hyperlink r:id="rId7" w:history="1">
        <w:r w:rsidR="00620343" w:rsidRPr="00B51B5E">
          <w:rPr>
            <w:rStyle w:val="Hipervnculo"/>
            <w:rFonts w:ascii="Times New Roman" w:hAnsi="Times New Roman" w:cs="Times New Roman"/>
            <w:color w:val="000000" w:themeColor="text1"/>
            <w:sz w:val="18"/>
            <w:szCs w:val="18"/>
          </w:rPr>
          <w:t>https://n9.cl/jbjeu</w:t>
        </w:r>
      </w:hyperlink>
      <w:r w:rsidR="00620343" w:rsidRPr="00B51B5E">
        <w:rPr>
          <w:color w:val="000000" w:themeColor="text1"/>
          <w:sz w:val="18"/>
          <w:szCs w:val="18"/>
        </w:rPr>
        <w:t xml:space="preserve"> </w:t>
      </w:r>
    </w:p>
  </w:footnote>
  <w:footnote w:id="11">
    <w:p w14:paraId="393A9294" w14:textId="11F824AB"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El País. </w:t>
      </w:r>
      <w:r w:rsidRPr="00B51B5E">
        <w:rPr>
          <w:rFonts w:ascii="Times New Roman" w:eastAsia="Times New Roman" w:hAnsi="Times New Roman" w:cs="Times New Roman"/>
          <w:i/>
          <w:color w:val="000000" w:themeColor="text1"/>
          <w:sz w:val="18"/>
          <w:szCs w:val="18"/>
        </w:rPr>
        <w:t>La masacre de sandinistas en Nicaragua desata una campaña de represión</w:t>
      </w:r>
      <w:r w:rsidRPr="00B51B5E">
        <w:rPr>
          <w:rFonts w:ascii="Times New Roman" w:eastAsia="Times New Roman" w:hAnsi="Times New Roman" w:cs="Times New Roman"/>
          <w:color w:val="000000" w:themeColor="text1"/>
          <w:sz w:val="18"/>
          <w:szCs w:val="18"/>
        </w:rPr>
        <w:t xml:space="preserve">. 31 de julio de 2014. </w:t>
      </w:r>
      <w:hyperlink r:id="rId8" w:history="1">
        <w:r w:rsidR="00620343" w:rsidRPr="00B51B5E">
          <w:rPr>
            <w:rStyle w:val="Hipervnculo"/>
            <w:rFonts w:ascii="Times New Roman" w:hAnsi="Times New Roman" w:cs="Times New Roman"/>
            <w:color w:val="000000" w:themeColor="text1"/>
            <w:sz w:val="18"/>
            <w:szCs w:val="18"/>
          </w:rPr>
          <w:t>https://n9.cl/usbp7</w:t>
        </w:r>
      </w:hyperlink>
      <w:r w:rsidR="00620343" w:rsidRPr="00B51B5E">
        <w:rPr>
          <w:rFonts w:ascii="Times New Roman" w:hAnsi="Times New Roman" w:cs="Times New Roman"/>
          <w:color w:val="000000" w:themeColor="text1"/>
          <w:sz w:val="18"/>
          <w:szCs w:val="18"/>
        </w:rPr>
        <w:t xml:space="preserve"> </w:t>
      </w:r>
    </w:p>
  </w:footnote>
  <w:footnote w:id="12">
    <w:p w14:paraId="171608D7" w14:textId="32DED4C0"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V</w:t>
      </w:r>
      <w:r w:rsidR="00740A90" w:rsidRPr="00B51B5E">
        <w:rPr>
          <w:rFonts w:ascii="Times New Roman" w:eastAsia="Times New Roman" w:hAnsi="Times New Roman" w:cs="Times New Roman"/>
          <w:color w:val="000000" w:themeColor="text1"/>
          <w:sz w:val="18"/>
          <w:szCs w:val="18"/>
        </w:rPr>
        <w:t>er:</w:t>
      </w:r>
      <w:r w:rsidRPr="00B51B5E">
        <w:rPr>
          <w:rFonts w:ascii="Times New Roman" w:eastAsia="Times New Roman" w:hAnsi="Times New Roman" w:cs="Times New Roman"/>
          <w:color w:val="000000" w:themeColor="text1"/>
          <w:sz w:val="18"/>
          <w:szCs w:val="18"/>
        </w:rPr>
        <w:t xml:space="preserve"> las situaciones particulares de cada caso alegadas y demostradas en acápites posteriores. </w:t>
      </w:r>
    </w:p>
  </w:footnote>
  <w:footnote w:id="13">
    <w:p w14:paraId="435DE81D" w14:textId="27387CF1"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52254E"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El Faro. </w:t>
      </w:r>
      <w:r w:rsidRPr="00B51B5E">
        <w:rPr>
          <w:rFonts w:ascii="Times New Roman" w:eastAsia="Times New Roman" w:hAnsi="Times New Roman" w:cs="Times New Roman"/>
          <w:i/>
          <w:color w:val="000000" w:themeColor="text1"/>
          <w:sz w:val="18"/>
          <w:szCs w:val="18"/>
        </w:rPr>
        <w:t>La masacre que nunca existió</w:t>
      </w:r>
      <w:r w:rsidRPr="00B51B5E">
        <w:rPr>
          <w:rFonts w:ascii="Times New Roman" w:eastAsia="Times New Roman" w:hAnsi="Times New Roman" w:cs="Times New Roman"/>
          <w:color w:val="000000" w:themeColor="text1"/>
          <w:sz w:val="18"/>
          <w:szCs w:val="18"/>
        </w:rPr>
        <w:t>. 13 de octubre de 2014</w:t>
      </w:r>
      <w:r w:rsidR="00FB0773" w:rsidRPr="00B51B5E">
        <w:rPr>
          <w:rFonts w:ascii="Times New Roman" w:hAnsi="Times New Roman" w:cs="Times New Roman"/>
          <w:color w:val="000000" w:themeColor="text1"/>
          <w:sz w:val="18"/>
          <w:szCs w:val="18"/>
        </w:rPr>
        <w:t xml:space="preserve">. </w:t>
      </w:r>
      <w:hyperlink r:id="rId9" w:history="1">
        <w:r w:rsidR="00FB0773" w:rsidRPr="00B51B5E">
          <w:rPr>
            <w:rStyle w:val="Hipervnculo"/>
            <w:rFonts w:ascii="Times New Roman" w:hAnsi="Times New Roman" w:cs="Times New Roman"/>
            <w:color w:val="000000" w:themeColor="text1"/>
            <w:sz w:val="18"/>
            <w:szCs w:val="18"/>
          </w:rPr>
          <w:t>https://n9.cl/5u6uu</w:t>
        </w:r>
      </w:hyperlink>
      <w:r w:rsidR="00FB0773" w:rsidRPr="00B51B5E">
        <w:rPr>
          <w:rFonts w:ascii="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CENIDH. </w:t>
      </w:r>
      <w:r w:rsidRPr="00B51B5E">
        <w:rPr>
          <w:rFonts w:ascii="Times New Roman" w:eastAsia="Times New Roman" w:hAnsi="Times New Roman" w:cs="Times New Roman"/>
          <w:i/>
          <w:color w:val="000000" w:themeColor="text1"/>
          <w:sz w:val="18"/>
          <w:szCs w:val="18"/>
        </w:rPr>
        <w:t xml:space="preserve">CENIDH demanda a la Comisionada </w:t>
      </w:r>
      <w:proofErr w:type="spellStart"/>
      <w:r w:rsidRPr="00B51B5E">
        <w:rPr>
          <w:rFonts w:ascii="Times New Roman" w:eastAsia="Times New Roman" w:hAnsi="Times New Roman" w:cs="Times New Roman"/>
          <w:i/>
          <w:color w:val="000000" w:themeColor="text1"/>
          <w:sz w:val="18"/>
          <w:szCs w:val="18"/>
        </w:rPr>
        <w:t>Aminta</w:t>
      </w:r>
      <w:proofErr w:type="spellEnd"/>
      <w:r w:rsidRPr="00B51B5E">
        <w:rPr>
          <w:rFonts w:ascii="Times New Roman" w:eastAsia="Times New Roman" w:hAnsi="Times New Roman" w:cs="Times New Roman"/>
          <w:i/>
          <w:color w:val="000000" w:themeColor="text1"/>
          <w:sz w:val="18"/>
          <w:szCs w:val="18"/>
        </w:rPr>
        <w:t xml:space="preserve"> Granera investigue caso de tortura denunciado por los procesados en caso de la masacre del 19 de julio</w:t>
      </w:r>
      <w:r w:rsidRPr="00B51B5E">
        <w:rPr>
          <w:rFonts w:ascii="Times New Roman" w:eastAsia="Times New Roman" w:hAnsi="Times New Roman" w:cs="Times New Roman"/>
          <w:color w:val="000000" w:themeColor="text1"/>
          <w:sz w:val="18"/>
          <w:szCs w:val="18"/>
        </w:rPr>
        <w:t xml:space="preserve">. 15 de octubre de 2014. </w:t>
      </w:r>
      <w:hyperlink r:id="rId10" w:history="1">
        <w:r w:rsidR="00FB0773" w:rsidRPr="00B51B5E">
          <w:rPr>
            <w:rStyle w:val="Hipervnculo"/>
            <w:rFonts w:ascii="Times New Roman" w:eastAsia="Times New Roman" w:hAnsi="Times New Roman" w:cs="Times New Roman"/>
            <w:color w:val="000000" w:themeColor="text1"/>
            <w:sz w:val="18"/>
            <w:szCs w:val="18"/>
          </w:rPr>
          <w:t>https://n9.cl/r1xis</w:t>
        </w:r>
      </w:hyperlink>
      <w:r w:rsidR="00FB0773"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Confidencial </w:t>
      </w:r>
      <w:r w:rsidRPr="00B51B5E">
        <w:rPr>
          <w:rFonts w:ascii="Times New Roman" w:eastAsia="Times New Roman" w:hAnsi="Times New Roman" w:cs="Times New Roman"/>
          <w:i/>
          <w:color w:val="000000" w:themeColor="text1"/>
          <w:sz w:val="18"/>
          <w:szCs w:val="18"/>
        </w:rPr>
        <w:t>Masacre del 19, ¿cuál es la verdad?</w:t>
      </w:r>
      <w:r w:rsidRPr="00B51B5E">
        <w:rPr>
          <w:rFonts w:ascii="Times New Roman" w:eastAsia="Times New Roman" w:hAnsi="Times New Roman" w:cs="Times New Roman"/>
          <w:color w:val="000000" w:themeColor="text1"/>
          <w:sz w:val="18"/>
          <w:szCs w:val="18"/>
        </w:rPr>
        <w:t xml:space="preserve"> 18 de julio de 2015.</w:t>
      </w:r>
      <w:r w:rsidR="00FB0773" w:rsidRPr="00B51B5E">
        <w:rPr>
          <w:rFonts w:ascii="Times New Roman" w:eastAsia="Times New Roman" w:hAnsi="Times New Roman" w:cs="Times New Roman"/>
          <w:color w:val="000000" w:themeColor="text1"/>
          <w:sz w:val="18"/>
          <w:szCs w:val="18"/>
        </w:rPr>
        <w:t xml:space="preserve"> </w:t>
      </w:r>
      <w:hyperlink r:id="rId11" w:history="1">
        <w:r w:rsidR="00FB0773" w:rsidRPr="00B51B5E">
          <w:rPr>
            <w:rStyle w:val="Hipervnculo"/>
            <w:rFonts w:ascii="Times New Roman" w:eastAsia="Times New Roman" w:hAnsi="Times New Roman" w:cs="Times New Roman"/>
            <w:color w:val="000000" w:themeColor="text1"/>
            <w:sz w:val="18"/>
            <w:szCs w:val="18"/>
          </w:rPr>
          <w:t>https://n9.cl/pzpy2</w:t>
        </w:r>
      </w:hyperlink>
      <w:r w:rsidR="00FB0773"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La Prensa. </w:t>
      </w:r>
      <w:r w:rsidRPr="00B51B5E">
        <w:rPr>
          <w:rFonts w:ascii="Times New Roman" w:eastAsia="Times New Roman" w:hAnsi="Times New Roman" w:cs="Times New Roman"/>
          <w:i/>
          <w:color w:val="000000" w:themeColor="text1"/>
          <w:sz w:val="18"/>
          <w:szCs w:val="18"/>
        </w:rPr>
        <w:t>El juicio por la masacre del 19 de julio y por qué fue un terrible presagio para Nicaragua.</w:t>
      </w:r>
      <w:r w:rsidRPr="00B51B5E">
        <w:rPr>
          <w:rFonts w:ascii="Times New Roman" w:eastAsia="Times New Roman" w:hAnsi="Times New Roman" w:cs="Times New Roman"/>
          <w:color w:val="000000" w:themeColor="text1"/>
          <w:sz w:val="18"/>
          <w:szCs w:val="18"/>
        </w:rPr>
        <w:t xml:space="preserve"> Septiembre 2019. </w:t>
      </w:r>
      <w:hyperlink r:id="rId12" w:history="1">
        <w:r w:rsidR="00FB0773" w:rsidRPr="00B51B5E">
          <w:rPr>
            <w:rStyle w:val="Hipervnculo"/>
            <w:rFonts w:ascii="Times New Roman" w:hAnsi="Times New Roman" w:cs="Times New Roman"/>
            <w:color w:val="000000" w:themeColor="text1"/>
            <w:sz w:val="18"/>
            <w:szCs w:val="18"/>
          </w:rPr>
          <w:t>https://n9.cl/kchwv</w:t>
        </w:r>
      </w:hyperlink>
      <w:r w:rsidR="00FB0773" w:rsidRPr="00B51B5E">
        <w:rPr>
          <w:rFonts w:ascii="Times New Roman" w:hAnsi="Times New Roman" w:cs="Times New Roman"/>
          <w:color w:val="000000" w:themeColor="text1"/>
          <w:sz w:val="18"/>
          <w:szCs w:val="18"/>
        </w:rPr>
        <w:t xml:space="preserve"> </w:t>
      </w:r>
    </w:p>
  </w:footnote>
  <w:footnote w:id="14">
    <w:p w14:paraId="049E695F" w14:textId="6B8757FA"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El 19 Digital. </w:t>
      </w:r>
      <w:proofErr w:type="spellStart"/>
      <w:r w:rsidRPr="00B51B5E">
        <w:rPr>
          <w:rFonts w:ascii="Times New Roman" w:eastAsia="Times New Roman" w:hAnsi="Times New Roman" w:cs="Times New Roman"/>
          <w:i/>
          <w:color w:val="000000" w:themeColor="text1"/>
          <w:sz w:val="18"/>
          <w:szCs w:val="18"/>
        </w:rPr>
        <w:t>Latinvex</w:t>
      </w:r>
      <w:proofErr w:type="spellEnd"/>
      <w:r w:rsidRPr="00B51B5E">
        <w:rPr>
          <w:rFonts w:ascii="Times New Roman" w:eastAsia="Times New Roman" w:hAnsi="Times New Roman" w:cs="Times New Roman"/>
          <w:i/>
          <w:color w:val="000000" w:themeColor="text1"/>
          <w:sz w:val="18"/>
          <w:szCs w:val="18"/>
        </w:rPr>
        <w:t>: Nicaragua es el país más seguro de Latinoamérica</w:t>
      </w:r>
      <w:r w:rsidRPr="00B51B5E">
        <w:rPr>
          <w:rFonts w:ascii="Times New Roman" w:eastAsia="Times New Roman" w:hAnsi="Times New Roman" w:cs="Times New Roman"/>
          <w:color w:val="000000" w:themeColor="text1"/>
          <w:sz w:val="18"/>
          <w:szCs w:val="18"/>
        </w:rPr>
        <w:t xml:space="preserve">. 7 de febrero de 2014. </w:t>
      </w:r>
      <w:hyperlink r:id="rId13" w:history="1">
        <w:r w:rsidR="00B51B5E" w:rsidRPr="00B51B5E">
          <w:rPr>
            <w:rStyle w:val="Hipervnculo"/>
            <w:rFonts w:ascii="Times New Roman" w:hAnsi="Times New Roman" w:cs="Times New Roman"/>
            <w:color w:val="000000" w:themeColor="text1"/>
            <w:sz w:val="18"/>
            <w:szCs w:val="18"/>
          </w:rPr>
          <w:t>https://n9.cl/3msk</w:t>
        </w:r>
      </w:hyperlink>
      <w:r w:rsidR="00B51B5E" w:rsidRPr="00B51B5E">
        <w:rPr>
          <w:rFonts w:ascii="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El 19 Digital. </w:t>
      </w:r>
      <w:r w:rsidRPr="00B51B5E">
        <w:rPr>
          <w:rFonts w:ascii="Times New Roman" w:eastAsia="Times New Roman" w:hAnsi="Times New Roman" w:cs="Times New Roman"/>
          <w:i/>
          <w:color w:val="000000" w:themeColor="text1"/>
          <w:sz w:val="18"/>
          <w:szCs w:val="18"/>
        </w:rPr>
        <w:t>Política social contribuye a seguridad den Nicaragua, según Policía</w:t>
      </w:r>
      <w:r w:rsidRPr="00B51B5E">
        <w:rPr>
          <w:rFonts w:ascii="Times New Roman" w:eastAsia="Times New Roman" w:hAnsi="Times New Roman" w:cs="Times New Roman"/>
          <w:color w:val="000000" w:themeColor="text1"/>
          <w:sz w:val="18"/>
          <w:szCs w:val="18"/>
        </w:rPr>
        <w:t xml:space="preserve">. 3 de junio de 2014. </w:t>
      </w:r>
      <w:hyperlink r:id="rId14" w:history="1">
        <w:r w:rsidR="00B51B5E" w:rsidRPr="00B51B5E">
          <w:rPr>
            <w:rStyle w:val="Hipervnculo"/>
            <w:rFonts w:ascii="Times New Roman" w:eastAsia="Times New Roman" w:hAnsi="Times New Roman" w:cs="Times New Roman"/>
            <w:color w:val="000000" w:themeColor="text1"/>
            <w:sz w:val="18"/>
            <w:szCs w:val="18"/>
          </w:rPr>
          <w:t>https://n9.cl/5teyd1</w:t>
        </w:r>
      </w:hyperlink>
      <w:r w:rsidR="00B51B5E" w:rsidRPr="00B51B5E">
        <w:rPr>
          <w:rFonts w:ascii="Times New Roman" w:eastAsia="Times New Roman" w:hAnsi="Times New Roman" w:cs="Times New Roman"/>
          <w:color w:val="000000" w:themeColor="text1"/>
          <w:sz w:val="18"/>
          <w:szCs w:val="18"/>
        </w:rPr>
        <w:t xml:space="preserve"> </w:t>
      </w:r>
    </w:p>
  </w:footnote>
  <w:footnote w:id="15">
    <w:p w14:paraId="4C3D03E7" w14:textId="6D07F10A"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El Economista. </w:t>
      </w:r>
      <w:r w:rsidRPr="00B51B5E">
        <w:rPr>
          <w:rFonts w:ascii="Times New Roman" w:eastAsia="Times New Roman" w:hAnsi="Times New Roman" w:cs="Times New Roman"/>
          <w:i/>
          <w:color w:val="000000" w:themeColor="text1"/>
          <w:sz w:val="18"/>
          <w:szCs w:val="18"/>
        </w:rPr>
        <w:t>Nicaragua continúa posicionándose como el país más seguro de América Latina.</w:t>
      </w:r>
      <w:r w:rsidRPr="00B51B5E">
        <w:rPr>
          <w:rFonts w:ascii="Times New Roman" w:eastAsia="Times New Roman" w:hAnsi="Times New Roman" w:cs="Times New Roman"/>
          <w:color w:val="000000" w:themeColor="text1"/>
          <w:sz w:val="18"/>
          <w:szCs w:val="18"/>
        </w:rPr>
        <w:t xml:space="preserve"> 20 de marzo de 2018</w:t>
      </w:r>
      <w:r w:rsidR="002C4FAE">
        <w:rPr>
          <w:rFonts w:ascii="Times New Roman" w:eastAsia="Times New Roman" w:hAnsi="Times New Roman" w:cs="Times New Roman"/>
          <w:color w:val="000000" w:themeColor="text1"/>
          <w:sz w:val="18"/>
          <w:szCs w:val="18"/>
        </w:rPr>
        <w:t>.</w:t>
      </w:r>
      <w:r w:rsidRPr="00B51B5E">
        <w:rPr>
          <w:rFonts w:ascii="Times New Roman" w:eastAsia="Times New Roman" w:hAnsi="Times New Roman" w:cs="Times New Roman"/>
          <w:color w:val="000000" w:themeColor="text1"/>
          <w:sz w:val="18"/>
          <w:szCs w:val="18"/>
        </w:rPr>
        <w:t xml:space="preserve"> </w:t>
      </w:r>
      <w:hyperlink r:id="rId15" w:history="1">
        <w:r w:rsidR="00B51B5E" w:rsidRPr="00B51B5E">
          <w:rPr>
            <w:rStyle w:val="Hipervnculo"/>
            <w:rFonts w:ascii="Times New Roman" w:hAnsi="Times New Roman" w:cs="Times New Roman"/>
            <w:color w:val="000000" w:themeColor="text1"/>
            <w:sz w:val="18"/>
            <w:szCs w:val="18"/>
          </w:rPr>
          <w:t>https://n9.cl/hjk7a</w:t>
        </w:r>
      </w:hyperlink>
      <w:r w:rsidR="00B51B5E" w:rsidRPr="00B51B5E">
        <w:rPr>
          <w:rFonts w:ascii="Times New Roman" w:hAnsi="Times New Roman" w:cs="Times New Roman"/>
          <w:color w:val="000000" w:themeColor="text1"/>
          <w:sz w:val="18"/>
          <w:szCs w:val="18"/>
        </w:rPr>
        <w:t xml:space="preserve"> </w:t>
      </w:r>
    </w:p>
  </w:footnote>
  <w:footnote w:id="16">
    <w:p w14:paraId="5BCB9D11" w14:textId="198F6C62"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00740A90" w:rsidRPr="00B51B5E">
        <w:rPr>
          <w:rFonts w:ascii="Times New Roman" w:eastAsia="Times New Roman" w:hAnsi="Times New Roman" w:cs="Times New Roman"/>
          <w:color w:val="000000" w:themeColor="text1"/>
          <w:sz w:val="18"/>
          <w:szCs w:val="18"/>
        </w:rPr>
        <w:t>Ver:</w:t>
      </w:r>
      <w:r w:rsidRPr="00B51B5E">
        <w:rPr>
          <w:rFonts w:ascii="Times New Roman" w:eastAsia="Times New Roman" w:hAnsi="Times New Roman" w:cs="Times New Roman"/>
          <w:color w:val="000000" w:themeColor="text1"/>
          <w:sz w:val="18"/>
          <w:szCs w:val="18"/>
        </w:rPr>
        <w:t xml:space="preserve"> Infobae. </w:t>
      </w:r>
      <w:r w:rsidRPr="00B51B5E">
        <w:rPr>
          <w:rFonts w:ascii="Times New Roman" w:eastAsia="Times New Roman" w:hAnsi="Times New Roman" w:cs="Times New Roman"/>
          <w:i/>
          <w:color w:val="000000" w:themeColor="text1"/>
          <w:sz w:val="18"/>
          <w:szCs w:val="18"/>
        </w:rPr>
        <w:t xml:space="preserve">Daniel Ortega nombró jefe de la Policía Nacional de Nicaragua a su consuegro Francisco Díaz, sancionado por </w:t>
      </w:r>
      <w:proofErr w:type="gramStart"/>
      <w:r w:rsidRPr="00B51B5E">
        <w:rPr>
          <w:rFonts w:ascii="Times New Roman" w:eastAsia="Times New Roman" w:hAnsi="Times New Roman" w:cs="Times New Roman"/>
          <w:i/>
          <w:color w:val="000000" w:themeColor="text1"/>
          <w:sz w:val="18"/>
          <w:szCs w:val="18"/>
        </w:rPr>
        <w:t>EEUU</w:t>
      </w:r>
      <w:proofErr w:type="gramEnd"/>
      <w:r w:rsidRPr="00B51B5E">
        <w:rPr>
          <w:rFonts w:ascii="Times New Roman" w:eastAsia="Times New Roman" w:hAnsi="Times New Roman" w:cs="Times New Roman"/>
          <w:color w:val="000000" w:themeColor="text1"/>
          <w:sz w:val="18"/>
          <w:szCs w:val="18"/>
        </w:rPr>
        <w:t>. 25 de agosto de 2018.</w:t>
      </w:r>
      <w:r w:rsidR="00B51B5E" w:rsidRPr="00B51B5E">
        <w:rPr>
          <w:rFonts w:ascii="Times New Roman" w:hAnsi="Times New Roman" w:cs="Times New Roman"/>
          <w:color w:val="000000" w:themeColor="text1"/>
          <w:sz w:val="18"/>
          <w:szCs w:val="18"/>
        </w:rPr>
        <w:t xml:space="preserve"> </w:t>
      </w:r>
      <w:hyperlink r:id="rId16" w:history="1">
        <w:r w:rsidR="00B51B5E" w:rsidRPr="00B51B5E">
          <w:rPr>
            <w:rStyle w:val="Hipervnculo"/>
            <w:rFonts w:ascii="Times New Roman" w:eastAsia="Times New Roman" w:hAnsi="Times New Roman" w:cs="Times New Roman"/>
            <w:color w:val="000000" w:themeColor="text1"/>
            <w:sz w:val="18"/>
            <w:szCs w:val="18"/>
          </w:rPr>
          <w:t>https://n9.cl/n310</w:t>
        </w:r>
      </w:hyperlink>
      <w:r w:rsidR="00B51B5E"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color w:val="000000" w:themeColor="text1"/>
          <w:sz w:val="18"/>
          <w:szCs w:val="18"/>
        </w:rPr>
        <w:t xml:space="preserve">France 24. </w:t>
      </w:r>
      <w:r w:rsidRPr="00B51B5E">
        <w:rPr>
          <w:rFonts w:ascii="Times New Roman" w:eastAsia="Times New Roman" w:hAnsi="Times New Roman" w:cs="Times New Roman"/>
          <w:i/>
          <w:color w:val="000000" w:themeColor="text1"/>
          <w:sz w:val="18"/>
          <w:szCs w:val="18"/>
        </w:rPr>
        <w:t>Ortega entrega mando de policía de Nicaragua a su consuegro.</w:t>
      </w:r>
      <w:r w:rsidRPr="00B51B5E">
        <w:rPr>
          <w:rFonts w:ascii="Times New Roman" w:eastAsia="Times New Roman" w:hAnsi="Times New Roman" w:cs="Times New Roman"/>
          <w:color w:val="000000" w:themeColor="text1"/>
          <w:sz w:val="18"/>
          <w:szCs w:val="18"/>
        </w:rPr>
        <w:t xml:space="preserve"> 11 de septiembre de 2018. </w:t>
      </w:r>
      <w:hyperlink r:id="rId17" w:history="1">
        <w:r w:rsidR="00B51B5E" w:rsidRPr="00B51B5E">
          <w:rPr>
            <w:rStyle w:val="Hipervnculo"/>
            <w:rFonts w:ascii="Times New Roman" w:hAnsi="Times New Roman" w:cs="Times New Roman"/>
            <w:color w:val="000000" w:themeColor="text1"/>
            <w:sz w:val="18"/>
            <w:szCs w:val="18"/>
          </w:rPr>
          <w:t>https://n9.cl/sb4b4</w:t>
        </w:r>
      </w:hyperlink>
      <w:r w:rsidR="00B51B5E" w:rsidRPr="00B51B5E">
        <w:rPr>
          <w:rFonts w:ascii="Times New Roman" w:hAnsi="Times New Roman" w:cs="Times New Roman"/>
          <w:color w:val="000000" w:themeColor="text1"/>
          <w:sz w:val="18"/>
          <w:szCs w:val="18"/>
        </w:rPr>
        <w:t xml:space="preserve"> </w:t>
      </w:r>
    </w:p>
  </w:footnote>
  <w:footnote w:id="17">
    <w:p w14:paraId="2D558173"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proofErr w:type="spellStart"/>
      <w:r w:rsidRPr="00B51B5E">
        <w:rPr>
          <w:rFonts w:ascii="Times New Roman" w:eastAsia="Times New Roman" w:hAnsi="Times New Roman" w:cs="Times New Roman"/>
          <w:i/>
          <w:color w:val="000000" w:themeColor="text1"/>
          <w:sz w:val="18"/>
          <w:szCs w:val="18"/>
        </w:rPr>
        <w:t>Idem</w:t>
      </w:r>
      <w:proofErr w:type="spellEnd"/>
      <w:r w:rsidRPr="00B51B5E">
        <w:rPr>
          <w:rFonts w:ascii="Times New Roman" w:eastAsia="Times New Roman" w:hAnsi="Times New Roman" w:cs="Times New Roman"/>
          <w:i/>
          <w:color w:val="000000" w:themeColor="text1"/>
          <w:sz w:val="18"/>
          <w:szCs w:val="18"/>
        </w:rPr>
        <w:t>.</w:t>
      </w:r>
    </w:p>
  </w:footnote>
  <w:footnote w:id="18">
    <w:p w14:paraId="4453DE50"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El 19 Digital. </w:t>
      </w:r>
      <w:r w:rsidRPr="00B51B5E">
        <w:rPr>
          <w:rFonts w:ascii="Times New Roman" w:eastAsia="Times New Roman" w:hAnsi="Times New Roman" w:cs="Times New Roman"/>
          <w:i/>
          <w:color w:val="000000" w:themeColor="text1"/>
          <w:sz w:val="18"/>
          <w:szCs w:val="18"/>
        </w:rPr>
        <w:t>Política social contribuye a seguridad den Nicaragua, según Policía.</w:t>
      </w:r>
      <w:r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i/>
          <w:color w:val="000000" w:themeColor="text1"/>
          <w:sz w:val="18"/>
          <w:szCs w:val="18"/>
        </w:rPr>
        <w:t>Óp. Cit.</w:t>
      </w:r>
    </w:p>
  </w:footnote>
  <w:footnote w:id="19">
    <w:p w14:paraId="60846C1E" w14:textId="609EA684"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Al respecto ver: DH. </w:t>
      </w:r>
      <w:r w:rsidRPr="00B51B5E">
        <w:rPr>
          <w:rFonts w:ascii="Times New Roman" w:eastAsia="Times New Roman" w:hAnsi="Times New Roman" w:cs="Times New Roman"/>
          <w:i/>
          <w:color w:val="000000" w:themeColor="text1"/>
          <w:sz w:val="18"/>
          <w:szCs w:val="18"/>
        </w:rPr>
        <w:t>Nicaragua: Concentración del poder y debilitamiento del Estado de Derecho.</w:t>
      </w:r>
      <w:r w:rsidRPr="00B51B5E">
        <w:rPr>
          <w:rFonts w:ascii="Times New Roman" w:eastAsia="Times New Roman" w:hAnsi="Times New Roman" w:cs="Times New Roman"/>
          <w:color w:val="000000" w:themeColor="text1"/>
          <w:sz w:val="18"/>
          <w:szCs w:val="18"/>
        </w:rPr>
        <w:t xml:space="preserve"> OEA/</w:t>
      </w:r>
      <w:proofErr w:type="spellStart"/>
      <w:r w:rsidRPr="00B51B5E">
        <w:rPr>
          <w:rFonts w:ascii="Times New Roman" w:eastAsia="Times New Roman" w:hAnsi="Times New Roman" w:cs="Times New Roman"/>
          <w:color w:val="000000" w:themeColor="text1"/>
          <w:sz w:val="18"/>
          <w:szCs w:val="18"/>
        </w:rPr>
        <w:t>Ser.L</w:t>
      </w:r>
      <w:proofErr w:type="spellEnd"/>
      <w:r w:rsidRPr="00B51B5E">
        <w:rPr>
          <w:rFonts w:ascii="Times New Roman" w:eastAsia="Times New Roman" w:hAnsi="Times New Roman" w:cs="Times New Roman"/>
          <w:color w:val="000000" w:themeColor="text1"/>
          <w:sz w:val="18"/>
          <w:szCs w:val="18"/>
        </w:rPr>
        <w:t xml:space="preserve">/V/II. Doc. 288. 25 de octubre de 2021. </w:t>
      </w:r>
      <w:proofErr w:type="spellStart"/>
      <w:r w:rsidRPr="00B51B5E">
        <w:rPr>
          <w:rFonts w:ascii="Times New Roman" w:eastAsia="Times New Roman" w:hAnsi="Times New Roman" w:cs="Times New Roman"/>
          <w:color w:val="000000" w:themeColor="text1"/>
          <w:sz w:val="18"/>
          <w:szCs w:val="18"/>
        </w:rPr>
        <w:t>Párrs</w:t>
      </w:r>
      <w:proofErr w:type="spellEnd"/>
      <w:r w:rsidRPr="00B51B5E">
        <w:rPr>
          <w:rFonts w:ascii="Times New Roman" w:eastAsia="Times New Roman" w:hAnsi="Times New Roman" w:cs="Times New Roman"/>
          <w:color w:val="000000" w:themeColor="text1"/>
          <w:sz w:val="18"/>
          <w:szCs w:val="18"/>
        </w:rPr>
        <w:t xml:space="preserve">. 24-49.  </w:t>
      </w:r>
      <w:hyperlink r:id="rId18" w:history="1">
        <w:r w:rsidR="00B51B5E" w:rsidRPr="00B51B5E">
          <w:rPr>
            <w:rStyle w:val="Hipervnculo"/>
            <w:rFonts w:ascii="Times New Roman" w:eastAsia="Times New Roman" w:hAnsi="Times New Roman" w:cs="Times New Roman"/>
            <w:color w:val="000000" w:themeColor="text1"/>
            <w:sz w:val="18"/>
            <w:szCs w:val="18"/>
          </w:rPr>
          <w:t>https://n9.cl/c8kn76</w:t>
        </w:r>
      </w:hyperlink>
      <w:r w:rsidR="00B51B5E" w:rsidRPr="00B51B5E">
        <w:rPr>
          <w:rFonts w:ascii="Times New Roman" w:eastAsia="Times New Roman" w:hAnsi="Times New Roman" w:cs="Times New Roman"/>
          <w:color w:val="000000" w:themeColor="text1"/>
          <w:sz w:val="18"/>
          <w:szCs w:val="18"/>
        </w:rPr>
        <w:t xml:space="preserve"> </w:t>
      </w:r>
    </w:p>
  </w:footnote>
  <w:footnote w:id="20">
    <w:p w14:paraId="5334988F"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i/>
          <w:color w:val="000000" w:themeColor="text1"/>
          <w:sz w:val="18"/>
          <w:szCs w:val="18"/>
        </w:rPr>
        <w:t>Ibid.</w:t>
      </w:r>
      <w:r w:rsidRPr="00B51B5E">
        <w:rPr>
          <w:rFonts w:ascii="Times New Roman" w:eastAsia="Times New Roman" w:hAnsi="Times New Roman" w:cs="Times New Roman"/>
          <w:color w:val="000000" w:themeColor="text1"/>
          <w:sz w:val="18"/>
          <w:szCs w:val="18"/>
        </w:rPr>
        <w:t xml:space="preserve"> Párr. 96 (ver también </w:t>
      </w:r>
      <w:proofErr w:type="spellStart"/>
      <w:r w:rsidRPr="00B51B5E">
        <w:rPr>
          <w:rFonts w:ascii="Times New Roman" w:eastAsia="Times New Roman" w:hAnsi="Times New Roman" w:cs="Times New Roman"/>
          <w:color w:val="000000" w:themeColor="text1"/>
          <w:sz w:val="18"/>
          <w:szCs w:val="18"/>
        </w:rPr>
        <w:t>párrs</w:t>
      </w:r>
      <w:proofErr w:type="spellEnd"/>
      <w:r w:rsidRPr="00B51B5E">
        <w:rPr>
          <w:rFonts w:ascii="Times New Roman" w:eastAsia="Times New Roman" w:hAnsi="Times New Roman" w:cs="Times New Roman"/>
          <w:color w:val="000000" w:themeColor="text1"/>
          <w:sz w:val="18"/>
          <w:szCs w:val="18"/>
        </w:rPr>
        <w:t xml:space="preserve"> 95-105). Respecto al sometimiento del Poder Judicial al Poder Ejecutivo desde previo a 2018, también véase: ONU – Asamblea General. </w:t>
      </w:r>
      <w:r w:rsidRPr="00B51B5E">
        <w:rPr>
          <w:rFonts w:ascii="Times New Roman" w:eastAsia="Times New Roman" w:hAnsi="Times New Roman" w:cs="Times New Roman"/>
          <w:i/>
          <w:color w:val="000000" w:themeColor="text1"/>
          <w:sz w:val="18"/>
          <w:szCs w:val="18"/>
        </w:rPr>
        <w:t xml:space="preserve">Informe de la Relatora Especial sobre la independencia de los magistrados y abogados, Gabriela </w:t>
      </w:r>
      <w:proofErr w:type="spellStart"/>
      <w:r w:rsidRPr="00B51B5E">
        <w:rPr>
          <w:rFonts w:ascii="Times New Roman" w:eastAsia="Times New Roman" w:hAnsi="Times New Roman" w:cs="Times New Roman"/>
          <w:i/>
          <w:color w:val="000000" w:themeColor="text1"/>
          <w:sz w:val="18"/>
          <w:szCs w:val="18"/>
        </w:rPr>
        <w:t>Knaul</w:t>
      </w:r>
      <w:proofErr w:type="spellEnd"/>
      <w:r w:rsidRPr="00B51B5E">
        <w:rPr>
          <w:rFonts w:ascii="Times New Roman" w:eastAsia="Times New Roman" w:hAnsi="Times New Roman" w:cs="Times New Roman"/>
          <w:i/>
          <w:color w:val="000000" w:themeColor="text1"/>
          <w:sz w:val="18"/>
          <w:szCs w:val="18"/>
        </w:rPr>
        <w:t xml:space="preserve"> - Consulta subregional sobre la independencia del Poder Judicial en América Central</w:t>
      </w:r>
      <w:r w:rsidRPr="00B51B5E">
        <w:rPr>
          <w:rFonts w:ascii="Times New Roman" w:eastAsia="Times New Roman" w:hAnsi="Times New Roman" w:cs="Times New Roman"/>
          <w:color w:val="000000" w:themeColor="text1"/>
          <w:sz w:val="18"/>
          <w:szCs w:val="18"/>
        </w:rPr>
        <w:t xml:space="preserve">. </w:t>
      </w:r>
      <w:proofErr w:type="spellStart"/>
      <w:r w:rsidRPr="00B51B5E">
        <w:rPr>
          <w:rFonts w:ascii="Times New Roman" w:eastAsia="Times New Roman" w:hAnsi="Times New Roman" w:cs="Times New Roman"/>
          <w:color w:val="000000" w:themeColor="text1"/>
          <w:sz w:val="18"/>
          <w:szCs w:val="18"/>
        </w:rPr>
        <w:t>párrs</w:t>
      </w:r>
      <w:proofErr w:type="spellEnd"/>
      <w:r w:rsidRPr="00B51B5E">
        <w:rPr>
          <w:rFonts w:ascii="Times New Roman" w:eastAsia="Times New Roman" w:hAnsi="Times New Roman" w:cs="Times New Roman"/>
          <w:color w:val="000000" w:themeColor="text1"/>
          <w:sz w:val="18"/>
          <w:szCs w:val="18"/>
        </w:rPr>
        <w:t xml:space="preserve"> 60-69.  </w:t>
      </w:r>
    </w:p>
  </w:footnote>
  <w:footnote w:id="21">
    <w:p w14:paraId="23CD81BD"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Corte IDH. </w:t>
      </w:r>
      <w:r w:rsidRPr="00B51B5E">
        <w:rPr>
          <w:rFonts w:ascii="Times New Roman" w:eastAsia="Times New Roman" w:hAnsi="Times New Roman" w:cs="Times New Roman"/>
          <w:i/>
          <w:color w:val="000000" w:themeColor="text1"/>
          <w:sz w:val="18"/>
          <w:szCs w:val="18"/>
        </w:rPr>
        <w:t>Caso Gadea Mantilla Vs. Nicaragua. Sentencia de 16 de octubre de 2024</w:t>
      </w:r>
      <w:r w:rsidRPr="00B51B5E">
        <w:rPr>
          <w:rFonts w:ascii="Times New Roman" w:eastAsia="Times New Roman" w:hAnsi="Times New Roman" w:cs="Times New Roman"/>
          <w:color w:val="000000" w:themeColor="text1"/>
          <w:sz w:val="18"/>
          <w:szCs w:val="18"/>
        </w:rPr>
        <w:t>. Fondo. Reparaciones y Costas. Serie C No. 543. Párr. 121-125.</w:t>
      </w:r>
    </w:p>
  </w:footnote>
  <w:footnote w:id="22">
    <w:p w14:paraId="1DF6F6B2" w14:textId="77777777" w:rsidR="00D55D36" w:rsidRPr="00B51B5E"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i/>
          <w:color w:val="000000" w:themeColor="text1"/>
          <w:sz w:val="18"/>
          <w:szCs w:val="18"/>
        </w:rPr>
        <w:t>Ibid.</w:t>
      </w:r>
      <w:r w:rsidRPr="00B51B5E">
        <w:rPr>
          <w:rFonts w:ascii="Times New Roman" w:eastAsia="Times New Roman" w:hAnsi="Times New Roman" w:cs="Times New Roman"/>
          <w:color w:val="000000" w:themeColor="text1"/>
          <w:sz w:val="18"/>
          <w:szCs w:val="18"/>
        </w:rPr>
        <w:t xml:space="preserve"> Párr. 32. </w:t>
      </w:r>
    </w:p>
  </w:footnote>
  <w:footnote w:id="23">
    <w:p w14:paraId="2662C5A2" w14:textId="77777777" w:rsidR="00D55D36" w:rsidRPr="001B5126"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r w:rsidRPr="00B51B5E">
        <w:rPr>
          <w:rFonts w:ascii="Times New Roman" w:hAnsi="Times New Roman" w:cs="Times New Roman"/>
          <w:color w:val="000000" w:themeColor="text1"/>
          <w:sz w:val="18"/>
          <w:szCs w:val="18"/>
          <w:vertAlign w:val="superscript"/>
        </w:rPr>
        <w:footnoteRef/>
      </w:r>
      <w:r w:rsidRPr="00B51B5E">
        <w:rPr>
          <w:rFonts w:ascii="Times New Roman" w:eastAsia="Times New Roman" w:hAnsi="Times New Roman" w:cs="Times New Roman"/>
          <w:color w:val="000000" w:themeColor="text1"/>
          <w:sz w:val="18"/>
          <w:szCs w:val="18"/>
        </w:rPr>
        <w:t xml:space="preserve"> </w:t>
      </w:r>
      <w:r w:rsidRPr="00B51B5E">
        <w:rPr>
          <w:rFonts w:ascii="Times New Roman" w:eastAsia="Times New Roman" w:hAnsi="Times New Roman" w:cs="Times New Roman"/>
          <w:i/>
          <w:color w:val="000000" w:themeColor="text1"/>
          <w:sz w:val="18"/>
          <w:szCs w:val="18"/>
        </w:rPr>
        <w:t>Ibid.</w:t>
      </w:r>
      <w:r w:rsidRPr="00B51B5E">
        <w:rPr>
          <w:rFonts w:ascii="Times New Roman" w:eastAsia="Times New Roman" w:hAnsi="Times New Roman" w:cs="Times New Roman"/>
          <w:color w:val="000000" w:themeColor="text1"/>
          <w:sz w:val="18"/>
          <w:szCs w:val="18"/>
        </w:rPr>
        <w:t xml:space="preserve"> Párr. 31 y 32.  </w:t>
      </w:r>
    </w:p>
  </w:footnote>
  <w:footnote w:id="24">
    <w:p w14:paraId="3644AFD1" w14:textId="07F6B697" w:rsidR="00D55D36" w:rsidRPr="0089610F" w:rsidRDefault="005B5684" w:rsidP="00C22B40">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GHREN. </w:t>
      </w:r>
      <w:r w:rsidRPr="0089610F">
        <w:rPr>
          <w:rFonts w:ascii="Times New Roman" w:eastAsia="Times New Roman" w:hAnsi="Times New Roman" w:cs="Times New Roman"/>
          <w:i/>
          <w:color w:val="000000" w:themeColor="text1"/>
          <w:sz w:val="18"/>
          <w:szCs w:val="18"/>
        </w:rPr>
        <w:t>Conclusiones detalladas del Grupo de Expertos en Derechos Humanos sobre Nicaragua. Doc. ONU A/HRC/52/CRP.5. 6 de marzo de 2023. Párr. 951.</w:t>
      </w:r>
      <w:r w:rsidR="0089610F" w:rsidRPr="0089610F">
        <w:rPr>
          <w:rFonts w:ascii="Times New Roman" w:hAnsi="Times New Roman" w:cs="Times New Roman"/>
          <w:color w:val="000000" w:themeColor="text1"/>
          <w:sz w:val="18"/>
          <w:szCs w:val="18"/>
        </w:rPr>
        <w:t xml:space="preserve"> </w:t>
      </w:r>
      <w:hyperlink r:id="rId19" w:history="1">
        <w:r w:rsidR="0089610F" w:rsidRPr="0089610F">
          <w:rPr>
            <w:rStyle w:val="Hipervnculo"/>
            <w:rFonts w:ascii="Times New Roman" w:hAnsi="Times New Roman" w:cs="Times New Roman"/>
            <w:color w:val="000000" w:themeColor="text1"/>
            <w:sz w:val="18"/>
            <w:szCs w:val="18"/>
          </w:rPr>
          <w:t>https://n9.cl/d53r4</w:t>
        </w:r>
      </w:hyperlink>
      <w:r w:rsidR="0089610F" w:rsidRPr="0089610F">
        <w:rPr>
          <w:rFonts w:ascii="Times New Roman" w:hAnsi="Times New Roman" w:cs="Times New Roman"/>
          <w:color w:val="000000" w:themeColor="text1"/>
          <w:sz w:val="18"/>
          <w:szCs w:val="18"/>
        </w:rPr>
        <w:t>.</w:t>
      </w:r>
      <w:r w:rsidR="0089610F" w:rsidRPr="0089610F">
        <w:rPr>
          <w:color w:val="000000" w:themeColor="text1"/>
        </w:rPr>
        <w:t xml:space="preserve"> </w:t>
      </w:r>
    </w:p>
  </w:footnote>
  <w:footnote w:id="25">
    <w:p w14:paraId="0419C836" w14:textId="38DD804B" w:rsidR="00D55D36" w:rsidRPr="0089610F" w:rsidRDefault="005B5684" w:rsidP="00C22B40">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89610F">
        <w:rPr>
          <w:rFonts w:ascii="Times New Roman" w:hAnsi="Times New Roman" w:cs="Times New Roman"/>
          <w:color w:val="000000" w:themeColor="text1"/>
          <w:sz w:val="18"/>
          <w:szCs w:val="18"/>
          <w:vertAlign w:val="superscript"/>
        </w:rPr>
        <w:footnoteRef/>
      </w:r>
      <w:r w:rsidRPr="0089610F">
        <w:rPr>
          <w:rFonts w:ascii="Times New Roman" w:eastAsia="Times New Roman" w:hAnsi="Times New Roman" w:cs="Times New Roman"/>
          <w:color w:val="000000" w:themeColor="text1"/>
          <w:sz w:val="18"/>
          <w:szCs w:val="18"/>
        </w:rPr>
        <w:t xml:space="preserve"> Al respecto ver: CIDH – MESENI. Registro de personas detenidas y/o deportadas. </w:t>
      </w:r>
      <w:hyperlink r:id="rId20" w:history="1">
        <w:r w:rsidR="0089610F" w:rsidRPr="0089610F">
          <w:rPr>
            <w:rStyle w:val="Hipervnculo"/>
            <w:rFonts w:ascii="Times New Roman" w:hAnsi="Times New Roman" w:cs="Times New Roman"/>
            <w:color w:val="000000" w:themeColor="text1"/>
            <w:sz w:val="18"/>
            <w:szCs w:val="18"/>
          </w:rPr>
          <w:t>https://n9.cl/3f1ad</w:t>
        </w:r>
      </w:hyperlink>
      <w:r w:rsidR="0089610F" w:rsidRPr="0089610F">
        <w:rPr>
          <w:rFonts w:ascii="Times New Roman" w:hAnsi="Times New Roman" w:cs="Times New Roman"/>
          <w:color w:val="000000" w:themeColor="text1"/>
          <w:sz w:val="18"/>
          <w:szCs w:val="18"/>
        </w:rPr>
        <w:t xml:space="preserve">. </w:t>
      </w:r>
    </w:p>
  </w:footnote>
  <w:footnote w:id="26">
    <w:p w14:paraId="6C226694" w14:textId="29DD4D18" w:rsidR="00D55D36" w:rsidRPr="001B5126" w:rsidRDefault="005B5684" w:rsidP="001B5126">
      <w:pPr>
        <w:spacing w:after="0" w:line="240" w:lineRule="auto"/>
        <w:jc w:val="both"/>
        <w:rPr>
          <w:rFonts w:ascii="Times New Roman" w:eastAsia="Times New Roman" w:hAnsi="Times New Roman" w:cs="Times New Roman"/>
          <w:sz w:val="18"/>
          <w:szCs w:val="18"/>
        </w:rPr>
      </w:pPr>
      <w:r w:rsidRPr="0089610F">
        <w:rPr>
          <w:rFonts w:ascii="Times New Roman" w:hAnsi="Times New Roman" w:cs="Times New Roman"/>
          <w:color w:val="000000" w:themeColor="text1"/>
          <w:sz w:val="18"/>
          <w:szCs w:val="18"/>
          <w:vertAlign w:val="superscript"/>
        </w:rPr>
        <w:footnoteRef/>
      </w:r>
      <w:r w:rsidRPr="0089610F">
        <w:rPr>
          <w:rFonts w:ascii="Times New Roman" w:eastAsia="Times New Roman" w:hAnsi="Times New Roman" w:cs="Times New Roman"/>
          <w:color w:val="000000" w:themeColor="text1"/>
          <w:sz w:val="18"/>
          <w:szCs w:val="18"/>
        </w:rPr>
        <w:t xml:space="preserve"> Al respecto ver: CIDH. </w:t>
      </w:r>
      <w:r w:rsidRPr="0089610F">
        <w:rPr>
          <w:rFonts w:ascii="Times New Roman" w:eastAsia="Times New Roman" w:hAnsi="Times New Roman" w:cs="Times New Roman"/>
          <w:i/>
          <w:color w:val="000000" w:themeColor="text1"/>
          <w:sz w:val="18"/>
          <w:szCs w:val="18"/>
        </w:rPr>
        <w:t>Informe “Personas privadas de libertad en Nicaragua”.</w:t>
      </w:r>
      <w:r w:rsidRPr="0089610F">
        <w:rPr>
          <w:rFonts w:ascii="Times New Roman" w:eastAsia="Times New Roman" w:hAnsi="Times New Roman" w:cs="Times New Roman"/>
          <w:color w:val="000000" w:themeColor="text1"/>
          <w:sz w:val="18"/>
          <w:szCs w:val="18"/>
        </w:rPr>
        <w:t xml:space="preserve"> </w:t>
      </w:r>
      <w:r w:rsidRPr="0089610F">
        <w:rPr>
          <w:rFonts w:ascii="Times New Roman" w:eastAsia="Times New Roman" w:hAnsi="Times New Roman" w:cs="Times New Roman"/>
          <w:i/>
          <w:color w:val="000000" w:themeColor="text1"/>
          <w:sz w:val="18"/>
          <w:szCs w:val="18"/>
        </w:rPr>
        <w:t>Óp. Cit</w:t>
      </w:r>
      <w:r w:rsidRPr="0089610F">
        <w:rPr>
          <w:rFonts w:ascii="Times New Roman" w:eastAsia="Times New Roman" w:hAnsi="Times New Roman" w:cs="Times New Roman"/>
          <w:color w:val="000000" w:themeColor="text1"/>
          <w:sz w:val="18"/>
          <w:szCs w:val="18"/>
        </w:rPr>
        <w:t>. Párr. 37</w:t>
      </w:r>
      <w:r w:rsidR="0026187E">
        <w:rPr>
          <w:rFonts w:ascii="Times New Roman" w:eastAsia="Times New Roman" w:hAnsi="Times New Roman" w:cs="Times New Roman"/>
          <w:color w:val="000000" w:themeColor="text1"/>
          <w:sz w:val="18"/>
          <w:szCs w:val="18"/>
        </w:rPr>
        <w:t>.</w:t>
      </w:r>
    </w:p>
  </w:footnote>
  <w:footnote w:id="27">
    <w:p w14:paraId="7EC626FC" w14:textId="77777777" w:rsidR="00D55D36" w:rsidRPr="001B5126" w:rsidRDefault="005B5684" w:rsidP="001B5126">
      <w:pPr>
        <w:spacing w:after="0" w:line="240" w:lineRule="auto"/>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CIDH. Nicaragua: </w:t>
      </w:r>
      <w:r w:rsidRPr="001B5126">
        <w:rPr>
          <w:rFonts w:ascii="Times New Roman" w:eastAsia="Times New Roman" w:hAnsi="Times New Roman" w:cs="Times New Roman"/>
          <w:i/>
          <w:sz w:val="18"/>
          <w:szCs w:val="18"/>
        </w:rPr>
        <w:t xml:space="preserve">Concentración </w:t>
      </w:r>
      <w:r w:rsidRPr="001B5126">
        <w:rPr>
          <w:rFonts w:ascii="Times New Roman" w:eastAsia="Times New Roman" w:hAnsi="Times New Roman" w:cs="Times New Roman"/>
          <w:i/>
          <w:color w:val="000000"/>
          <w:sz w:val="18"/>
          <w:szCs w:val="18"/>
        </w:rPr>
        <w:t>del poder y debilitamiento del Estado de Derecho</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Párr. 155. </w:t>
      </w:r>
    </w:p>
  </w:footnote>
  <w:footnote w:id="28">
    <w:p w14:paraId="12D28F0E" w14:textId="77777777" w:rsidR="00D55D36" w:rsidRPr="0089610F"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GHREN. </w:t>
      </w:r>
      <w:r w:rsidRPr="001B5126">
        <w:rPr>
          <w:rFonts w:ascii="Times New Roman" w:eastAsia="Times New Roman" w:hAnsi="Times New Roman" w:cs="Times New Roman"/>
          <w:i/>
          <w:color w:val="000000"/>
          <w:sz w:val="18"/>
          <w:szCs w:val="18"/>
        </w:rPr>
        <w:t>Conclusiones detalladas del Grupo de Expertos en Derechos Humanos sobre Nicaragua</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Párr. 603, 606, 617, 618, 620, 621, 635, 636, 651 y 653</w:t>
      </w:r>
      <w:r w:rsidRPr="0089610F">
        <w:rPr>
          <w:rFonts w:ascii="Times New Roman" w:eastAsia="Times New Roman" w:hAnsi="Times New Roman" w:cs="Times New Roman"/>
          <w:color w:val="000000" w:themeColor="text1"/>
          <w:sz w:val="18"/>
          <w:szCs w:val="18"/>
        </w:rPr>
        <w:t>, 1065.</w:t>
      </w:r>
    </w:p>
    <w:bookmarkStart w:id="16" w:name="_heading=h.2grqrue" w:colFirst="0" w:colLast="0"/>
    <w:bookmarkEnd w:id="16"/>
  </w:footnote>
  <w:footnote w:id="29">
    <w:p w14:paraId="4EF336F1" w14:textId="43A66163"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bookmarkStart w:id="17" w:name="_heading=h.2grqrue" w:colFirst="0" w:colLast="0"/>
      <w:bookmarkEnd w:id="17"/>
      <w:r w:rsidRPr="0089610F">
        <w:rPr>
          <w:rFonts w:ascii="Times New Roman" w:hAnsi="Times New Roman" w:cs="Times New Roman"/>
          <w:sz w:val="18"/>
          <w:szCs w:val="18"/>
          <w:vertAlign w:val="superscript"/>
        </w:rPr>
        <w:footnoteRef/>
      </w:r>
      <w:r w:rsidRPr="0089610F">
        <w:rPr>
          <w:rFonts w:ascii="Times New Roman" w:eastAsia="Times New Roman" w:hAnsi="Times New Roman" w:cs="Times New Roman"/>
          <w:color w:val="000000"/>
          <w:sz w:val="18"/>
          <w:szCs w:val="18"/>
        </w:rPr>
        <w:t xml:space="preserve"> OACNUDH. </w:t>
      </w:r>
      <w:r w:rsidRPr="0089610F">
        <w:rPr>
          <w:rFonts w:ascii="Times New Roman" w:eastAsia="Times New Roman" w:hAnsi="Times New Roman" w:cs="Times New Roman"/>
          <w:i/>
          <w:color w:val="000000"/>
          <w:sz w:val="18"/>
          <w:szCs w:val="18"/>
        </w:rPr>
        <w:t xml:space="preserve">Nicaragua: La reforma constitucional profundiza retrocesos en libertades civiles y políticas. 30 de enero de 2025. </w:t>
      </w:r>
      <w:hyperlink r:id="rId21"/>
      <w:r w:rsidR="0089610F" w:rsidRPr="0089610F">
        <w:rPr>
          <w:rFonts w:ascii="Times New Roman" w:hAnsi="Times New Roman" w:cs="Times New Roman"/>
          <w:sz w:val="18"/>
          <w:szCs w:val="18"/>
        </w:rPr>
        <w:t xml:space="preserve">  </w:t>
      </w:r>
      <w:hyperlink r:id="rId22" w:history="1">
        <w:r w:rsidR="0089610F" w:rsidRPr="0089610F">
          <w:rPr>
            <w:rStyle w:val="Hipervnculo"/>
            <w:rFonts w:ascii="Times New Roman" w:hAnsi="Times New Roman" w:cs="Times New Roman"/>
            <w:color w:val="000000" w:themeColor="text1"/>
            <w:sz w:val="18"/>
            <w:szCs w:val="18"/>
          </w:rPr>
          <w:t>https://n9.cl/76lxc</w:t>
        </w:r>
      </w:hyperlink>
      <w:r w:rsidR="0089610F" w:rsidRPr="0089610F">
        <w:rPr>
          <w:color w:val="000000" w:themeColor="text1"/>
        </w:rPr>
        <w:t xml:space="preserve"> </w:t>
      </w:r>
    </w:p>
  </w:footnote>
  <w:footnote w:id="30">
    <w:p w14:paraId="638F935D" w14:textId="77777777"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i/>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Ibid.</w:t>
      </w:r>
    </w:p>
  </w:footnote>
  <w:footnote w:id="31">
    <w:p w14:paraId="1615527F" w14:textId="77777777"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Ibid.</w:t>
      </w:r>
    </w:p>
  </w:footnote>
  <w:footnote w:id="32">
    <w:p w14:paraId="6D10D113" w14:textId="6F22438A" w:rsidR="00D55D36" w:rsidRPr="0089610F"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themeColor="text1"/>
          <w:sz w:val="18"/>
          <w:szCs w:val="18"/>
        </w:rPr>
      </w:pPr>
      <w:r w:rsidRPr="0089610F">
        <w:rPr>
          <w:rFonts w:ascii="Times New Roman" w:hAnsi="Times New Roman" w:cs="Times New Roman"/>
          <w:color w:val="000000" w:themeColor="text1"/>
          <w:sz w:val="18"/>
          <w:szCs w:val="18"/>
          <w:vertAlign w:val="superscript"/>
        </w:rPr>
        <w:footnoteRef/>
      </w:r>
      <w:r w:rsidRPr="0089610F">
        <w:rPr>
          <w:rFonts w:ascii="Times New Roman" w:eastAsia="Times New Roman" w:hAnsi="Times New Roman" w:cs="Times New Roman"/>
          <w:color w:val="000000" w:themeColor="text1"/>
          <w:sz w:val="18"/>
          <w:szCs w:val="18"/>
        </w:rPr>
        <w:t xml:space="preserve"> La Prensa. </w:t>
      </w:r>
      <w:r w:rsidRPr="0089610F">
        <w:rPr>
          <w:rFonts w:ascii="Times New Roman" w:eastAsia="Times New Roman" w:hAnsi="Times New Roman" w:cs="Times New Roman"/>
          <w:i/>
          <w:color w:val="000000" w:themeColor="text1"/>
          <w:sz w:val="18"/>
          <w:szCs w:val="18"/>
        </w:rPr>
        <w:t>Leonel Poveda, el preso político condenado a 133 años de cárcel.</w:t>
      </w:r>
      <w:r w:rsidRPr="0089610F">
        <w:rPr>
          <w:rFonts w:ascii="Times New Roman" w:eastAsia="Times New Roman" w:hAnsi="Times New Roman" w:cs="Times New Roman"/>
          <w:color w:val="000000" w:themeColor="text1"/>
          <w:sz w:val="18"/>
          <w:szCs w:val="18"/>
        </w:rPr>
        <w:t xml:space="preserve"> 2024.</w:t>
      </w:r>
      <w:r w:rsidRPr="0089610F">
        <w:rPr>
          <w:rFonts w:ascii="Times New Roman" w:eastAsia="Times New Roman" w:hAnsi="Times New Roman" w:cs="Times New Roman"/>
          <w:i/>
          <w:color w:val="000000" w:themeColor="text1"/>
          <w:sz w:val="18"/>
          <w:szCs w:val="18"/>
        </w:rPr>
        <w:t xml:space="preserve"> </w:t>
      </w:r>
      <w:hyperlink r:id="rId23" w:history="1">
        <w:r w:rsidR="0089610F" w:rsidRPr="0089610F">
          <w:rPr>
            <w:rStyle w:val="Hipervnculo"/>
            <w:rFonts w:ascii="Times New Roman" w:eastAsia="Times New Roman" w:hAnsi="Times New Roman" w:cs="Times New Roman"/>
            <w:i/>
            <w:color w:val="000000" w:themeColor="text1"/>
            <w:sz w:val="18"/>
            <w:szCs w:val="18"/>
          </w:rPr>
          <w:t>https://n9.cl/2s4txl</w:t>
        </w:r>
      </w:hyperlink>
      <w:r w:rsidRPr="0089610F">
        <w:rPr>
          <w:rFonts w:ascii="Times New Roman" w:eastAsia="Times New Roman" w:hAnsi="Times New Roman" w:cs="Times New Roman"/>
          <w:i/>
          <w:color w:val="000000" w:themeColor="text1"/>
          <w:sz w:val="18"/>
          <w:szCs w:val="18"/>
        </w:rPr>
        <w:t xml:space="preserve"> </w:t>
      </w:r>
    </w:p>
  </w:footnote>
  <w:footnote w:id="33">
    <w:p w14:paraId="3931CA60" w14:textId="09C576F9"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r w:rsidRPr="0089610F">
        <w:rPr>
          <w:rFonts w:ascii="Times New Roman" w:hAnsi="Times New Roman" w:cs="Times New Roman"/>
          <w:color w:val="000000" w:themeColor="text1"/>
          <w:sz w:val="18"/>
          <w:szCs w:val="18"/>
          <w:vertAlign w:val="superscript"/>
        </w:rPr>
        <w:footnoteRef/>
      </w:r>
      <w:r w:rsidRPr="0089610F">
        <w:rPr>
          <w:rFonts w:ascii="Times New Roman" w:eastAsia="Times New Roman" w:hAnsi="Times New Roman" w:cs="Times New Roman"/>
          <w:color w:val="000000" w:themeColor="text1"/>
          <w:sz w:val="18"/>
          <w:szCs w:val="18"/>
        </w:rPr>
        <w:t xml:space="preserve"> </w:t>
      </w:r>
      <w:r w:rsidR="00740A90" w:rsidRPr="0089610F">
        <w:rPr>
          <w:rFonts w:ascii="Times New Roman" w:eastAsia="Times New Roman" w:hAnsi="Times New Roman" w:cs="Times New Roman"/>
          <w:color w:val="000000" w:themeColor="text1"/>
          <w:sz w:val="18"/>
          <w:szCs w:val="18"/>
        </w:rPr>
        <w:t>Ver:</w:t>
      </w:r>
      <w:r w:rsidRPr="0089610F">
        <w:rPr>
          <w:rFonts w:ascii="Times New Roman" w:eastAsia="Times New Roman" w:hAnsi="Times New Roman" w:cs="Times New Roman"/>
          <w:color w:val="000000" w:themeColor="text1"/>
          <w:sz w:val="18"/>
          <w:szCs w:val="18"/>
        </w:rPr>
        <w:t xml:space="preserve"> El 19 Digital. </w:t>
      </w:r>
      <w:r w:rsidRPr="0089610F">
        <w:rPr>
          <w:rFonts w:ascii="Times New Roman" w:eastAsia="Times New Roman" w:hAnsi="Times New Roman" w:cs="Times New Roman"/>
          <w:i/>
          <w:color w:val="000000" w:themeColor="text1"/>
          <w:sz w:val="18"/>
          <w:szCs w:val="18"/>
        </w:rPr>
        <w:t>Policía Nacional presenta resultados de investigaciones en el caso de la masacre del 19 de julio</w:t>
      </w:r>
      <w:r w:rsidRPr="0089610F">
        <w:rPr>
          <w:rFonts w:ascii="Times New Roman" w:eastAsia="Times New Roman" w:hAnsi="Times New Roman" w:cs="Times New Roman"/>
          <w:color w:val="000000" w:themeColor="text1"/>
          <w:sz w:val="18"/>
          <w:szCs w:val="18"/>
        </w:rPr>
        <w:t xml:space="preserve">. 7 de agosto de 2014. </w:t>
      </w:r>
      <w:hyperlink r:id="rId24" w:history="1">
        <w:r w:rsidR="0089610F" w:rsidRPr="0089610F">
          <w:rPr>
            <w:rStyle w:val="Hipervnculo"/>
            <w:rFonts w:ascii="Times New Roman" w:eastAsia="Times New Roman" w:hAnsi="Times New Roman" w:cs="Times New Roman"/>
            <w:color w:val="000000" w:themeColor="text1"/>
            <w:sz w:val="18"/>
            <w:szCs w:val="18"/>
          </w:rPr>
          <w:t>https://n9.cl/ebtfz</w:t>
        </w:r>
      </w:hyperlink>
      <w:r w:rsidR="0089610F" w:rsidRPr="0089610F">
        <w:rPr>
          <w:rFonts w:ascii="Times New Roman" w:eastAsia="Times New Roman" w:hAnsi="Times New Roman" w:cs="Times New Roman"/>
          <w:color w:val="000000" w:themeColor="text1"/>
          <w:sz w:val="18"/>
          <w:szCs w:val="18"/>
        </w:rPr>
        <w:t xml:space="preserve">; </w:t>
      </w:r>
      <w:r w:rsidRPr="0089610F">
        <w:rPr>
          <w:rFonts w:ascii="Times New Roman" w:eastAsia="Times New Roman" w:hAnsi="Times New Roman" w:cs="Times New Roman"/>
          <w:color w:val="000000" w:themeColor="text1"/>
          <w:sz w:val="18"/>
          <w:szCs w:val="18"/>
        </w:rPr>
        <w:t>E</w:t>
      </w:r>
      <w:r w:rsidRPr="0089610F">
        <w:rPr>
          <w:rFonts w:ascii="Times New Roman" w:eastAsia="Times New Roman" w:hAnsi="Times New Roman" w:cs="Times New Roman"/>
          <w:i/>
          <w:color w:val="000000" w:themeColor="text1"/>
          <w:sz w:val="18"/>
          <w:szCs w:val="18"/>
        </w:rPr>
        <w:t>l 19 Digital. Policía Nacional explica detalle a detalle cómo ocurrió la masacre del 19 de julio.</w:t>
      </w:r>
      <w:r w:rsidRPr="0089610F">
        <w:rPr>
          <w:rFonts w:ascii="Times New Roman" w:eastAsia="Times New Roman" w:hAnsi="Times New Roman" w:cs="Times New Roman"/>
          <w:color w:val="000000" w:themeColor="text1"/>
          <w:sz w:val="18"/>
          <w:szCs w:val="18"/>
        </w:rPr>
        <w:t xml:space="preserve"> 7 de agosto de 2014. </w:t>
      </w:r>
      <w:r w:rsidR="0089610F" w:rsidRPr="0089610F">
        <w:rPr>
          <w:rFonts w:ascii="Times New Roman" w:eastAsia="Times New Roman" w:hAnsi="Times New Roman" w:cs="Times New Roman"/>
          <w:color w:val="000000" w:themeColor="text1"/>
          <w:sz w:val="18"/>
          <w:szCs w:val="18"/>
        </w:rPr>
        <w:t xml:space="preserve"> </w:t>
      </w:r>
      <w:hyperlink r:id="rId25" w:history="1">
        <w:r w:rsidR="0089610F" w:rsidRPr="0089610F">
          <w:rPr>
            <w:rStyle w:val="Hipervnculo"/>
            <w:rFonts w:ascii="Times New Roman" w:eastAsia="Times New Roman" w:hAnsi="Times New Roman" w:cs="Times New Roman"/>
            <w:color w:val="000000" w:themeColor="text1"/>
            <w:sz w:val="18"/>
            <w:szCs w:val="18"/>
          </w:rPr>
          <w:t>https://n9.cl/2332h</w:t>
        </w:r>
      </w:hyperlink>
      <w:r w:rsidR="0089610F" w:rsidRPr="0089610F">
        <w:rPr>
          <w:rFonts w:ascii="Times New Roman" w:eastAsia="Times New Roman" w:hAnsi="Times New Roman" w:cs="Times New Roman"/>
          <w:color w:val="000000" w:themeColor="text1"/>
          <w:sz w:val="18"/>
          <w:szCs w:val="18"/>
        </w:rPr>
        <w:t xml:space="preserve"> </w:t>
      </w:r>
      <w:r w:rsidRPr="0089610F">
        <w:rPr>
          <w:rFonts w:ascii="Times New Roman" w:eastAsia="Times New Roman" w:hAnsi="Times New Roman" w:cs="Times New Roman"/>
          <w:color w:val="000000" w:themeColor="text1"/>
          <w:sz w:val="18"/>
          <w:szCs w:val="18"/>
        </w:rPr>
        <w:t xml:space="preserve"> </w:t>
      </w:r>
    </w:p>
  </w:footnote>
  <w:footnote w:id="34">
    <w:p w14:paraId="462DA41C" w14:textId="4EAE36F0"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29194F">
        <w:rPr>
          <w:rFonts w:ascii="Times New Roman" w:eastAsia="Times New Roman" w:hAnsi="Times New Roman" w:cs="Times New Roman"/>
          <w:color w:val="000000"/>
          <w:sz w:val="18"/>
          <w:szCs w:val="18"/>
        </w:rPr>
        <w:t xml:space="preserve">Al </w:t>
      </w:r>
      <w:r w:rsidRPr="001B5126">
        <w:rPr>
          <w:rFonts w:ascii="Times New Roman" w:eastAsia="Times New Roman" w:hAnsi="Times New Roman" w:cs="Times New Roman"/>
          <w:color w:val="000000"/>
          <w:sz w:val="18"/>
          <w:szCs w:val="18"/>
        </w:rPr>
        <w:t xml:space="preserve">respecto ver: </w:t>
      </w:r>
      <w:r w:rsidRPr="0089610F">
        <w:rPr>
          <w:rFonts w:ascii="Times New Roman" w:eastAsia="Times New Roman" w:hAnsi="Times New Roman" w:cs="Times New Roman"/>
          <w:color w:val="000000" w:themeColor="text1"/>
          <w:sz w:val="18"/>
          <w:szCs w:val="18"/>
        </w:rPr>
        <w:t xml:space="preserve">Confidencial. </w:t>
      </w:r>
      <w:r w:rsidRPr="0089610F">
        <w:rPr>
          <w:rFonts w:ascii="Times New Roman" w:eastAsia="Times New Roman" w:hAnsi="Times New Roman" w:cs="Times New Roman"/>
          <w:i/>
          <w:color w:val="000000" w:themeColor="text1"/>
          <w:sz w:val="18"/>
          <w:szCs w:val="18"/>
        </w:rPr>
        <w:t>Condenan a 12 por masacre del 19: Acusados denuncian torturas policiales para incriminarlos.</w:t>
      </w:r>
      <w:r w:rsidRPr="0089610F">
        <w:rPr>
          <w:rFonts w:ascii="Times New Roman" w:eastAsia="Times New Roman" w:hAnsi="Times New Roman" w:cs="Times New Roman"/>
          <w:color w:val="000000" w:themeColor="text1"/>
          <w:sz w:val="18"/>
          <w:szCs w:val="18"/>
        </w:rPr>
        <w:t xml:space="preserve"> 13 de octubre de 2014. Minutos 2’50-7’25</w:t>
      </w:r>
      <w:r w:rsidR="0029194F" w:rsidRPr="004161BA">
        <w:rPr>
          <w:rFonts w:ascii="Times New Roman" w:eastAsia="Times New Roman" w:hAnsi="Times New Roman" w:cs="Times New Roman"/>
          <w:sz w:val="18"/>
          <w:szCs w:val="18"/>
        </w:rPr>
        <w:t>.</w:t>
      </w:r>
      <w:r w:rsidR="0029194F" w:rsidRPr="004161BA">
        <w:rPr>
          <w:rFonts w:ascii="Times New Roman" w:hAnsi="Times New Roman" w:cs="Times New Roman"/>
          <w:sz w:val="18"/>
          <w:szCs w:val="18"/>
        </w:rPr>
        <w:t xml:space="preserve"> </w:t>
      </w:r>
      <w:hyperlink r:id="rId26" w:history="1">
        <w:r w:rsidR="0029194F" w:rsidRPr="004161BA">
          <w:rPr>
            <w:rStyle w:val="Hipervnculo"/>
            <w:rFonts w:ascii="Times New Roman" w:hAnsi="Times New Roman" w:cs="Times New Roman"/>
            <w:color w:val="auto"/>
            <w:sz w:val="18"/>
            <w:szCs w:val="18"/>
          </w:rPr>
          <w:t>https://www.youtube.com/watch?v=vFe3F7uwvE8</w:t>
        </w:r>
      </w:hyperlink>
    </w:p>
  </w:footnote>
  <w:footnote w:id="35">
    <w:p w14:paraId="5FFD9AD7" w14:textId="77777777" w:rsidR="00D55D36" w:rsidRPr="001B5126" w:rsidRDefault="005B5684" w:rsidP="001B5126">
      <w:pPr>
        <w:pBdr>
          <w:top w:val="nil"/>
          <w:left w:val="nil"/>
          <w:bottom w:val="nil"/>
          <w:right w:val="nil"/>
          <w:between w:val="nil"/>
        </w:pBdr>
        <w:spacing w:after="0" w:line="240" w:lineRule="auto"/>
        <w:ind w:left="10"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GHREN. </w:t>
      </w:r>
      <w:r w:rsidRPr="001B5126">
        <w:rPr>
          <w:rFonts w:ascii="Times New Roman" w:eastAsia="Times New Roman" w:hAnsi="Times New Roman" w:cs="Times New Roman"/>
          <w:i/>
          <w:color w:val="000000"/>
          <w:sz w:val="18"/>
          <w:szCs w:val="18"/>
        </w:rPr>
        <w:t>Conclusiones detalladas del Grupo de Expertos en Derechos Humanos sobre Nicaragua</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Párr. 75.</w:t>
      </w:r>
    </w:p>
  </w:footnote>
  <w:footnote w:id="36">
    <w:p w14:paraId="0944EA22" w14:textId="657CDB43" w:rsidR="00E04054" w:rsidRPr="0098713F" w:rsidRDefault="00E04054">
      <w:pPr>
        <w:pStyle w:val="Textonotapie"/>
        <w:rPr>
          <w:rFonts w:ascii="Times New Roman" w:hAnsi="Times New Roman" w:cs="Times New Roman"/>
          <w:sz w:val="18"/>
          <w:szCs w:val="18"/>
          <w:lang w:val="es-NI"/>
        </w:rPr>
      </w:pPr>
      <w:r w:rsidRPr="0098713F">
        <w:rPr>
          <w:rStyle w:val="Refdenotaalpie"/>
          <w:rFonts w:ascii="Times New Roman" w:hAnsi="Times New Roman" w:cs="Times New Roman"/>
          <w:color w:val="auto"/>
          <w:sz w:val="18"/>
          <w:szCs w:val="18"/>
        </w:rPr>
        <w:footnoteRef/>
      </w:r>
      <w:r w:rsidRPr="0098713F">
        <w:rPr>
          <w:rFonts w:ascii="Times New Roman" w:hAnsi="Times New Roman" w:cs="Times New Roman"/>
          <w:color w:val="auto"/>
          <w:sz w:val="18"/>
          <w:szCs w:val="18"/>
        </w:rPr>
        <w:t xml:space="preserve"> </w:t>
      </w:r>
      <w:r w:rsidRPr="0098713F">
        <w:rPr>
          <w:rFonts w:ascii="Times New Roman" w:hAnsi="Times New Roman" w:cs="Times New Roman"/>
          <w:color w:val="auto"/>
          <w:sz w:val="18"/>
          <w:szCs w:val="18"/>
          <w:lang w:val="es-NI"/>
        </w:rPr>
        <w:t>Respecto al envejecimiento acelerado de privados de libertad ver: OM</w:t>
      </w:r>
      <w:r w:rsidR="0098713F" w:rsidRPr="0098713F">
        <w:rPr>
          <w:rFonts w:ascii="Times New Roman" w:hAnsi="Times New Roman" w:cs="Times New Roman"/>
          <w:color w:val="auto"/>
          <w:sz w:val="18"/>
          <w:szCs w:val="18"/>
          <w:lang w:val="es-NI"/>
        </w:rPr>
        <w:t xml:space="preserve">S: </w:t>
      </w:r>
      <w:hyperlink r:id="rId27" w:history="1">
        <w:r w:rsidR="0098713F" w:rsidRPr="0098713F">
          <w:rPr>
            <w:rStyle w:val="Hipervnculo"/>
            <w:rFonts w:ascii="Times New Roman" w:hAnsi="Times New Roman" w:cs="Times New Roman"/>
            <w:color w:val="auto"/>
            <w:sz w:val="18"/>
            <w:szCs w:val="18"/>
            <w:lang w:val="es-NI"/>
          </w:rPr>
          <w:t>https://n9.cl/dylxi</w:t>
        </w:r>
      </w:hyperlink>
      <w:r w:rsidR="0098713F" w:rsidRPr="0098713F">
        <w:rPr>
          <w:rFonts w:ascii="Times New Roman" w:hAnsi="Times New Roman" w:cs="Times New Roman"/>
          <w:color w:val="auto"/>
          <w:sz w:val="18"/>
          <w:szCs w:val="18"/>
          <w:lang w:val="es-NI"/>
        </w:rPr>
        <w:t>. P. 156 y 166.</w:t>
      </w:r>
    </w:p>
  </w:footnote>
  <w:footnote w:id="37">
    <w:p w14:paraId="16CF197A" w14:textId="3A31B68F" w:rsidR="00D55D36" w:rsidRPr="000404B5"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GTDA. </w:t>
      </w:r>
      <w:r w:rsidRPr="000404B5">
        <w:rPr>
          <w:rFonts w:ascii="Times New Roman" w:eastAsia="Times New Roman" w:hAnsi="Times New Roman" w:cs="Times New Roman"/>
          <w:i/>
          <w:sz w:val="18"/>
          <w:szCs w:val="18"/>
        </w:rPr>
        <w:t xml:space="preserve">Opinión núm. 83/2021 relativa Ahmed Samir </w:t>
      </w:r>
      <w:proofErr w:type="spellStart"/>
      <w:r w:rsidRPr="000404B5">
        <w:rPr>
          <w:rFonts w:ascii="Times New Roman" w:eastAsia="Times New Roman" w:hAnsi="Times New Roman" w:cs="Times New Roman"/>
          <w:i/>
          <w:sz w:val="18"/>
          <w:szCs w:val="18"/>
        </w:rPr>
        <w:t>Santawy</w:t>
      </w:r>
      <w:proofErr w:type="spellEnd"/>
      <w:r w:rsidRPr="000404B5">
        <w:rPr>
          <w:rFonts w:ascii="Times New Roman" w:eastAsia="Times New Roman" w:hAnsi="Times New Roman" w:cs="Times New Roman"/>
          <w:i/>
          <w:sz w:val="18"/>
          <w:szCs w:val="18"/>
        </w:rPr>
        <w:t xml:space="preserve"> (Egipto)</w:t>
      </w:r>
      <w:r w:rsidRPr="000404B5">
        <w:rPr>
          <w:rFonts w:ascii="Times New Roman" w:eastAsia="Times New Roman" w:hAnsi="Times New Roman" w:cs="Times New Roman"/>
          <w:sz w:val="18"/>
          <w:szCs w:val="18"/>
        </w:rPr>
        <w:t>. A/HRC/WGAD/2021/83. 28 de ene</w:t>
      </w:r>
      <w:r w:rsid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sz w:val="18"/>
          <w:szCs w:val="18"/>
        </w:rPr>
        <w:t>de 2022. Párr. 64.</w:t>
      </w:r>
    </w:p>
  </w:footnote>
  <w:footnote w:id="38">
    <w:p w14:paraId="221108B5" w14:textId="1F24D216" w:rsidR="00D55D36" w:rsidRPr="000404B5"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Asamblea Nacional. </w:t>
      </w:r>
      <w:r w:rsidRPr="000404B5">
        <w:rPr>
          <w:rFonts w:ascii="Times New Roman" w:eastAsia="Times New Roman" w:hAnsi="Times New Roman" w:cs="Times New Roman"/>
          <w:i/>
          <w:sz w:val="18"/>
          <w:szCs w:val="18"/>
        </w:rPr>
        <w:t>Constitución Política de Nicaragua. Artículo 33.2.2</w:t>
      </w:r>
      <w:r w:rsidRPr="000404B5">
        <w:rPr>
          <w:rFonts w:ascii="Times New Roman" w:eastAsia="Times New Roman" w:hAnsi="Times New Roman" w:cs="Times New Roman"/>
          <w:sz w:val="18"/>
          <w:szCs w:val="18"/>
        </w:rPr>
        <w:t xml:space="preserve">, </w:t>
      </w:r>
      <w:hyperlink r:id="rId28" w:history="1">
        <w:r w:rsidR="000404B5" w:rsidRPr="000404B5">
          <w:rPr>
            <w:rStyle w:val="Hipervnculo"/>
            <w:rFonts w:ascii="Times New Roman" w:hAnsi="Times New Roman" w:cs="Times New Roman"/>
            <w:color w:val="auto"/>
            <w:sz w:val="18"/>
            <w:szCs w:val="18"/>
          </w:rPr>
          <w:t>https://n9.cl/1zk9z6</w:t>
        </w:r>
      </w:hyperlink>
      <w:r w:rsidR="000404B5" w:rsidRPr="000404B5">
        <w:rPr>
          <w:rFonts w:ascii="Times New Roman" w:hAnsi="Times New Roman" w:cs="Times New Roman"/>
          <w:sz w:val="18"/>
          <w:szCs w:val="18"/>
        </w:rPr>
        <w:t xml:space="preserve"> </w:t>
      </w:r>
    </w:p>
  </w:footnote>
  <w:footnote w:id="39">
    <w:p w14:paraId="0287C1C1" w14:textId="53936CC6"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CCPR. </w:t>
      </w:r>
      <w:r w:rsidRPr="000404B5">
        <w:rPr>
          <w:rFonts w:ascii="Times New Roman" w:eastAsia="Times New Roman" w:hAnsi="Times New Roman" w:cs="Times New Roman"/>
          <w:i/>
          <w:sz w:val="18"/>
          <w:szCs w:val="18"/>
        </w:rPr>
        <w:t>Observación general No. 35. Artículo 9 (Libertad y seguridad personales</w:t>
      </w:r>
      <w:r w:rsidRPr="000404B5">
        <w:rPr>
          <w:rFonts w:ascii="Times New Roman" w:eastAsia="Times New Roman" w:hAnsi="Times New Roman" w:cs="Times New Roman"/>
          <w:sz w:val="18"/>
          <w:szCs w:val="18"/>
        </w:rPr>
        <w:t>. CCPR/C/GC/35. 16 de dic</w:t>
      </w:r>
      <w:r w:rsid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sz w:val="18"/>
          <w:szCs w:val="18"/>
        </w:rPr>
        <w:t>de 2014. Párr.33.</w:t>
      </w:r>
    </w:p>
  </w:footnote>
  <w:footnote w:id="40">
    <w:p w14:paraId="21AA5466" w14:textId="22A4A73D" w:rsidR="00D55D36" w:rsidRPr="001B5126"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Corte IDH. </w:t>
      </w:r>
      <w:r w:rsidRPr="001B5126">
        <w:rPr>
          <w:rFonts w:ascii="Times New Roman" w:eastAsia="Times New Roman" w:hAnsi="Times New Roman" w:cs="Times New Roman"/>
          <w:i/>
          <w:sz w:val="18"/>
          <w:szCs w:val="18"/>
        </w:rPr>
        <w:t xml:space="preserve">Caso Yvon </w:t>
      </w:r>
      <w:proofErr w:type="spellStart"/>
      <w:r w:rsidRPr="001B5126">
        <w:rPr>
          <w:rFonts w:ascii="Times New Roman" w:eastAsia="Times New Roman" w:hAnsi="Times New Roman" w:cs="Times New Roman"/>
          <w:i/>
          <w:sz w:val="18"/>
          <w:szCs w:val="18"/>
        </w:rPr>
        <w:t>Neptune</w:t>
      </w:r>
      <w:proofErr w:type="spellEnd"/>
      <w:r w:rsidRPr="001B5126">
        <w:rPr>
          <w:rFonts w:ascii="Times New Roman" w:eastAsia="Times New Roman" w:hAnsi="Times New Roman" w:cs="Times New Roman"/>
          <w:i/>
          <w:sz w:val="18"/>
          <w:szCs w:val="18"/>
        </w:rPr>
        <w:t xml:space="preserve"> Vs. Haití.</w:t>
      </w:r>
      <w:r w:rsidRPr="001B5126">
        <w:rPr>
          <w:rFonts w:ascii="Times New Roman" w:eastAsia="Times New Roman" w:hAnsi="Times New Roman" w:cs="Times New Roman"/>
          <w:sz w:val="18"/>
          <w:szCs w:val="18"/>
        </w:rPr>
        <w:t xml:space="preserve"> Fondo, reparaciones y costas. Sentencia de 2008. Serie C No. 180. Párr. 96. </w:t>
      </w:r>
    </w:p>
  </w:footnote>
  <w:footnote w:id="41">
    <w:p w14:paraId="1E749045"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w:t>
      </w:r>
      <w:r w:rsidRPr="001B5126">
        <w:rPr>
          <w:rFonts w:ascii="Times New Roman" w:eastAsia="Times New Roman" w:hAnsi="Times New Roman" w:cs="Times New Roman"/>
          <w:i/>
          <w:sz w:val="18"/>
          <w:szCs w:val="18"/>
        </w:rPr>
        <w:t>Ídem</w:t>
      </w:r>
      <w:r w:rsidRPr="001B5126">
        <w:rPr>
          <w:rFonts w:ascii="Times New Roman" w:eastAsia="Times New Roman" w:hAnsi="Times New Roman" w:cs="Times New Roman"/>
          <w:sz w:val="18"/>
          <w:szCs w:val="18"/>
        </w:rPr>
        <w:t>.</w:t>
      </w:r>
    </w:p>
  </w:footnote>
  <w:footnote w:id="42">
    <w:p w14:paraId="78CF57EB"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CCPR</w:t>
      </w:r>
      <w:r w:rsidRPr="001B5126">
        <w:rPr>
          <w:rFonts w:ascii="Times New Roman" w:eastAsia="Times New Roman" w:hAnsi="Times New Roman" w:cs="Times New Roman"/>
          <w:i/>
          <w:sz w:val="18"/>
          <w:szCs w:val="18"/>
        </w:rPr>
        <w:t>. Observación general No. 35 Óp</w:t>
      </w:r>
      <w:r w:rsidRPr="001B5126">
        <w:rPr>
          <w:rFonts w:ascii="Times New Roman" w:eastAsia="Times New Roman" w:hAnsi="Times New Roman" w:cs="Times New Roman"/>
          <w:sz w:val="18"/>
          <w:szCs w:val="18"/>
        </w:rPr>
        <w:t>. Cit. Párr. 35.</w:t>
      </w:r>
    </w:p>
  </w:footnote>
  <w:footnote w:id="43">
    <w:p w14:paraId="456CBCB2" w14:textId="605BEA44" w:rsidR="00D55D36" w:rsidRPr="001B5126"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GTDA.  </w:t>
      </w:r>
      <w:r w:rsidRPr="001B5126">
        <w:rPr>
          <w:rFonts w:ascii="Times New Roman" w:eastAsia="Times New Roman" w:hAnsi="Times New Roman" w:cs="Times New Roman"/>
          <w:i/>
          <w:sz w:val="18"/>
          <w:szCs w:val="18"/>
        </w:rPr>
        <w:t xml:space="preserve">Opinión núm. 85/2021 relativa a </w:t>
      </w:r>
      <w:proofErr w:type="spellStart"/>
      <w:r w:rsidRPr="001B5126">
        <w:rPr>
          <w:rFonts w:ascii="Times New Roman" w:eastAsia="Times New Roman" w:hAnsi="Times New Roman" w:cs="Times New Roman"/>
          <w:i/>
          <w:sz w:val="18"/>
          <w:szCs w:val="18"/>
        </w:rPr>
        <w:t>Anoosheh</w:t>
      </w:r>
      <w:proofErr w:type="spellEnd"/>
      <w:r w:rsidRPr="001B5126">
        <w:rPr>
          <w:rFonts w:ascii="Times New Roman" w:eastAsia="Times New Roman" w:hAnsi="Times New Roman" w:cs="Times New Roman"/>
          <w:i/>
          <w:sz w:val="18"/>
          <w:szCs w:val="18"/>
        </w:rPr>
        <w:t xml:space="preserve"> </w:t>
      </w:r>
      <w:proofErr w:type="spellStart"/>
      <w:r w:rsidRPr="001B5126">
        <w:rPr>
          <w:rFonts w:ascii="Times New Roman" w:eastAsia="Times New Roman" w:hAnsi="Times New Roman" w:cs="Times New Roman"/>
          <w:i/>
          <w:sz w:val="18"/>
          <w:szCs w:val="18"/>
        </w:rPr>
        <w:t>Ashoori</w:t>
      </w:r>
      <w:proofErr w:type="spellEnd"/>
      <w:r w:rsidRPr="001B5126">
        <w:rPr>
          <w:rFonts w:ascii="Times New Roman" w:eastAsia="Times New Roman" w:hAnsi="Times New Roman" w:cs="Times New Roman"/>
          <w:i/>
          <w:sz w:val="18"/>
          <w:szCs w:val="18"/>
        </w:rPr>
        <w:t xml:space="preserve"> (Irán)</w:t>
      </w:r>
      <w:r w:rsidRPr="001B5126">
        <w:rPr>
          <w:rFonts w:ascii="Times New Roman" w:eastAsia="Times New Roman" w:hAnsi="Times New Roman" w:cs="Times New Roman"/>
          <w:sz w:val="18"/>
          <w:szCs w:val="18"/>
        </w:rPr>
        <w:t>. A/HRC/WGAD/2021/85. 14 de febrero de 2022. Párr. 67.</w:t>
      </w:r>
    </w:p>
  </w:footnote>
  <w:footnote w:id="44">
    <w:p w14:paraId="778FC8E9" w14:textId="77777777" w:rsidR="00D55D36" w:rsidRPr="001B5126"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w:t>
      </w:r>
      <w:r w:rsidRPr="001B5126">
        <w:rPr>
          <w:rFonts w:ascii="Times New Roman" w:eastAsia="Times New Roman" w:hAnsi="Times New Roman" w:cs="Times New Roman"/>
          <w:i/>
          <w:sz w:val="18"/>
          <w:szCs w:val="18"/>
        </w:rPr>
        <w:t>Ibid.</w:t>
      </w:r>
      <w:r w:rsidRPr="001B5126">
        <w:rPr>
          <w:rFonts w:ascii="Times New Roman" w:eastAsia="Times New Roman" w:hAnsi="Times New Roman" w:cs="Times New Roman"/>
          <w:sz w:val="18"/>
          <w:szCs w:val="18"/>
        </w:rPr>
        <w:t xml:space="preserve"> Párr. 68.</w:t>
      </w:r>
    </w:p>
  </w:footnote>
  <w:footnote w:id="45">
    <w:p w14:paraId="54341F4E" w14:textId="0B37DFF4" w:rsidR="00D55D36" w:rsidRPr="005B664E"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lang w:val="de-DE"/>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Asamblea </w:t>
      </w:r>
      <w:r w:rsidRPr="000404B5">
        <w:rPr>
          <w:rFonts w:ascii="Times New Roman" w:eastAsia="Times New Roman" w:hAnsi="Times New Roman" w:cs="Times New Roman"/>
          <w:sz w:val="18"/>
          <w:szCs w:val="18"/>
        </w:rPr>
        <w:t xml:space="preserve">Nacional de Nicaragua. </w:t>
      </w:r>
      <w:r w:rsidRPr="000404B5">
        <w:rPr>
          <w:rFonts w:ascii="Times New Roman" w:eastAsia="Times New Roman" w:hAnsi="Times New Roman" w:cs="Times New Roman"/>
          <w:i/>
          <w:sz w:val="18"/>
          <w:szCs w:val="18"/>
        </w:rPr>
        <w:t xml:space="preserve">Ley de Ejecución, Beneficios y Control Jurisdiccional de la Sanción Penal. Ley No. 745. </w:t>
      </w:r>
      <w:r w:rsidRPr="000404B5">
        <w:rPr>
          <w:rFonts w:ascii="Times New Roman" w:eastAsia="Times New Roman" w:hAnsi="Times New Roman" w:cs="Times New Roman"/>
          <w:sz w:val="18"/>
          <w:szCs w:val="18"/>
        </w:rPr>
        <w:t xml:space="preserve">Aprobada el 1 de diciembre de 2010 y publicada en La Gaceta entre el 16 y 26 de enero de 2011. </w:t>
      </w:r>
      <w:r w:rsidRPr="000404B5">
        <w:rPr>
          <w:rFonts w:ascii="Times New Roman" w:eastAsia="Times New Roman" w:hAnsi="Times New Roman" w:cs="Times New Roman"/>
          <w:sz w:val="18"/>
          <w:szCs w:val="18"/>
          <w:lang w:val="de-DE"/>
        </w:rPr>
        <w:t xml:space="preserve">Art. 14. </w:t>
      </w:r>
      <w:hyperlink r:id="rId29" w:history="1">
        <w:r w:rsidR="000404B5" w:rsidRPr="000404B5">
          <w:rPr>
            <w:rStyle w:val="Hipervnculo"/>
            <w:rFonts w:ascii="Times New Roman" w:hAnsi="Times New Roman" w:cs="Times New Roman"/>
            <w:color w:val="auto"/>
            <w:sz w:val="18"/>
            <w:szCs w:val="18"/>
          </w:rPr>
          <w:t>https://n9.cl/awgxu</w:t>
        </w:r>
      </w:hyperlink>
      <w:r w:rsidR="000404B5">
        <w:t xml:space="preserve"> </w:t>
      </w:r>
    </w:p>
  </w:footnote>
  <w:footnote w:id="46">
    <w:p w14:paraId="6EA1C5E8" w14:textId="647ECA81" w:rsidR="00D55D36" w:rsidRPr="000404B5"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CCPR. </w:t>
      </w:r>
      <w:r w:rsidRPr="001B5126">
        <w:rPr>
          <w:rFonts w:ascii="Times New Roman" w:eastAsia="Times New Roman" w:hAnsi="Times New Roman" w:cs="Times New Roman"/>
          <w:i/>
          <w:sz w:val="18"/>
          <w:szCs w:val="18"/>
        </w:rPr>
        <w:t xml:space="preserve">Observación General No. 22. Artículo 18. </w:t>
      </w:r>
      <w:r w:rsidRPr="000404B5">
        <w:rPr>
          <w:rFonts w:ascii="Times New Roman" w:eastAsia="Times New Roman" w:hAnsi="Times New Roman" w:cs="Times New Roman"/>
          <w:i/>
          <w:sz w:val="18"/>
          <w:szCs w:val="18"/>
        </w:rPr>
        <w:t>Libertad de pensamiento, de conciencia y de religión</w:t>
      </w:r>
      <w:r w:rsidRPr="000404B5">
        <w:rPr>
          <w:rFonts w:ascii="Times New Roman" w:eastAsia="Times New Roman" w:hAnsi="Times New Roman" w:cs="Times New Roman"/>
          <w:sz w:val="18"/>
          <w:szCs w:val="18"/>
        </w:rPr>
        <w:t>. Párr. 10.</w:t>
      </w:r>
    </w:p>
  </w:footnote>
  <w:footnote w:id="47">
    <w:p w14:paraId="4F323590" w14:textId="68E7FCF0" w:rsidR="00D55D36" w:rsidRPr="000404B5"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w:t>
      </w:r>
      <w:r w:rsidR="00112535">
        <w:rPr>
          <w:rFonts w:ascii="Times New Roman" w:eastAsia="Times New Roman" w:hAnsi="Times New Roman" w:cs="Times New Roman"/>
          <w:sz w:val="18"/>
          <w:szCs w:val="18"/>
        </w:rPr>
        <w:t>V</w:t>
      </w:r>
      <w:r w:rsidRPr="000404B5">
        <w:rPr>
          <w:rFonts w:ascii="Times New Roman" w:eastAsia="Times New Roman" w:hAnsi="Times New Roman" w:cs="Times New Roman"/>
          <w:sz w:val="18"/>
          <w:szCs w:val="18"/>
        </w:rPr>
        <w:t xml:space="preserve">er: Colectivo Nicaragua Nunca </w:t>
      </w:r>
      <w:r w:rsidRPr="00112535">
        <w:rPr>
          <w:rFonts w:ascii="Times New Roman" w:eastAsia="Times New Roman" w:hAnsi="Times New Roman" w:cs="Times New Roman"/>
          <w:iCs/>
          <w:sz w:val="18"/>
          <w:szCs w:val="18"/>
        </w:rPr>
        <w:t>Más.</w:t>
      </w:r>
      <w:r w:rsidRPr="000404B5">
        <w:rPr>
          <w:rFonts w:ascii="Times New Roman" w:eastAsia="Times New Roman" w:hAnsi="Times New Roman" w:cs="Times New Roman"/>
          <w:i/>
          <w:sz w:val="18"/>
          <w:szCs w:val="18"/>
        </w:rPr>
        <w:t xml:space="preserve"> 10 casos de presos políticos silenciados por el régimen Ortega-Murillo</w:t>
      </w:r>
      <w:r w:rsidRPr="000404B5">
        <w:rPr>
          <w:rFonts w:ascii="Times New Roman" w:eastAsia="Times New Roman" w:hAnsi="Times New Roman" w:cs="Times New Roman"/>
          <w:sz w:val="18"/>
          <w:szCs w:val="18"/>
        </w:rPr>
        <w:t xml:space="preserve">. 2020. </w:t>
      </w:r>
      <w:hyperlink r:id="rId30" w:history="1">
        <w:r w:rsidR="000404B5" w:rsidRPr="000404B5">
          <w:rPr>
            <w:rStyle w:val="Hipervnculo"/>
            <w:rFonts w:ascii="Times New Roman" w:eastAsia="Times New Roman" w:hAnsi="Times New Roman" w:cs="Times New Roman"/>
            <w:color w:val="auto"/>
            <w:sz w:val="18"/>
            <w:szCs w:val="18"/>
          </w:rPr>
          <w:t>https://n9.cl/4wn2m0</w:t>
        </w:r>
      </w:hyperlink>
      <w:r w:rsidR="000404B5"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sz w:val="18"/>
          <w:szCs w:val="18"/>
        </w:rPr>
        <w:t>La Prensa</w:t>
      </w:r>
      <w:r w:rsidRPr="000404B5">
        <w:rPr>
          <w:rFonts w:ascii="Times New Roman" w:eastAsia="Times New Roman" w:hAnsi="Times New Roman" w:cs="Times New Roman"/>
          <w:i/>
          <w:sz w:val="18"/>
          <w:szCs w:val="18"/>
        </w:rPr>
        <w:t>. Presos políticos capturados antes de la crisis política acumulan cerca de 3500 días en prisión.</w:t>
      </w:r>
      <w:r w:rsidRPr="000404B5">
        <w:rPr>
          <w:rFonts w:ascii="Times New Roman" w:eastAsia="Times New Roman" w:hAnsi="Times New Roman" w:cs="Times New Roman"/>
          <w:sz w:val="18"/>
          <w:szCs w:val="18"/>
        </w:rPr>
        <w:t xml:space="preserve"> 2 de febrero de 2024. </w:t>
      </w:r>
      <w:hyperlink r:id="rId31" w:history="1">
        <w:r w:rsidR="000404B5" w:rsidRPr="000404B5">
          <w:rPr>
            <w:rStyle w:val="Hipervnculo"/>
            <w:rFonts w:ascii="Times New Roman" w:eastAsia="Times New Roman" w:hAnsi="Times New Roman" w:cs="Times New Roman"/>
            <w:color w:val="auto"/>
            <w:sz w:val="18"/>
            <w:szCs w:val="18"/>
          </w:rPr>
          <w:t>https://n9.cl/wf7chf</w:t>
        </w:r>
      </w:hyperlink>
      <w:r w:rsidR="000404B5"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sz w:val="18"/>
          <w:szCs w:val="18"/>
        </w:rPr>
        <w:t xml:space="preserve">La Prensa. </w:t>
      </w:r>
      <w:r w:rsidRPr="000404B5">
        <w:rPr>
          <w:rFonts w:ascii="Times New Roman" w:eastAsia="Times New Roman" w:hAnsi="Times New Roman" w:cs="Times New Roman"/>
          <w:i/>
          <w:sz w:val="18"/>
          <w:szCs w:val="18"/>
        </w:rPr>
        <w:t>Diez presos políticos con más de 3,610 días de prisión arbitraria</w:t>
      </w:r>
      <w:r w:rsidRPr="000404B5">
        <w:rPr>
          <w:rFonts w:ascii="Times New Roman" w:eastAsia="Times New Roman" w:hAnsi="Times New Roman" w:cs="Times New Roman"/>
          <w:sz w:val="18"/>
          <w:szCs w:val="18"/>
        </w:rPr>
        <w:t xml:space="preserve">. 23 de junio de 2014. </w:t>
      </w:r>
      <w:hyperlink r:id="rId32" w:history="1">
        <w:r w:rsidR="000404B5" w:rsidRPr="000404B5">
          <w:rPr>
            <w:rStyle w:val="Hipervnculo"/>
            <w:rFonts w:ascii="Times New Roman" w:hAnsi="Times New Roman" w:cs="Times New Roman"/>
            <w:color w:val="auto"/>
            <w:sz w:val="18"/>
            <w:szCs w:val="18"/>
          </w:rPr>
          <w:t>https://n9.cl/6p655</w:t>
        </w:r>
      </w:hyperlink>
      <w:r w:rsidR="000404B5" w:rsidRPr="000404B5">
        <w:rPr>
          <w:rFonts w:ascii="Times New Roman" w:hAnsi="Times New Roman" w:cs="Times New Roman"/>
          <w:sz w:val="18"/>
          <w:szCs w:val="18"/>
        </w:rPr>
        <w:t xml:space="preserve"> </w:t>
      </w:r>
    </w:p>
  </w:footnote>
  <w:footnote w:id="48">
    <w:p w14:paraId="543DBEE3" w14:textId="77777777" w:rsidR="00D55D36" w:rsidRPr="000404B5"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Véase: GHREN. </w:t>
      </w:r>
      <w:r w:rsidRPr="000404B5">
        <w:rPr>
          <w:rFonts w:ascii="Times New Roman" w:eastAsia="Times New Roman" w:hAnsi="Times New Roman" w:cs="Times New Roman"/>
          <w:i/>
          <w:sz w:val="18"/>
          <w:szCs w:val="18"/>
        </w:rPr>
        <w:t>Conclusiones detalladas del Grupo de Expertos en Derechos Humanos sobre Nicaragua</w:t>
      </w:r>
      <w:r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i/>
          <w:sz w:val="18"/>
          <w:szCs w:val="18"/>
        </w:rPr>
        <w:t>Óp. Cit.</w:t>
      </w:r>
      <w:r w:rsidRPr="000404B5">
        <w:rPr>
          <w:rFonts w:ascii="Times New Roman" w:eastAsia="Times New Roman" w:hAnsi="Times New Roman" w:cs="Times New Roman"/>
          <w:sz w:val="18"/>
          <w:szCs w:val="18"/>
        </w:rPr>
        <w:t xml:space="preserve"> Párr. 1093.</w:t>
      </w:r>
    </w:p>
  </w:footnote>
  <w:footnote w:id="49">
    <w:p w14:paraId="5FD0E1AE" w14:textId="77777777" w:rsidR="00D55D36" w:rsidRPr="000404B5"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i/>
          <w:sz w:val="18"/>
          <w:szCs w:val="18"/>
        </w:rPr>
        <w:t>Ibid</w:t>
      </w:r>
      <w:r w:rsidRPr="000404B5">
        <w:rPr>
          <w:rFonts w:ascii="Times New Roman" w:eastAsia="Times New Roman" w:hAnsi="Times New Roman" w:cs="Times New Roman"/>
          <w:sz w:val="18"/>
          <w:szCs w:val="18"/>
        </w:rPr>
        <w:t>. Párr. 1118.</w:t>
      </w:r>
    </w:p>
  </w:footnote>
  <w:footnote w:id="50">
    <w:p w14:paraId="6B6EBA88" w14:textId="77777777" w:rsidR="00D55D36" w:rsidRPr="000404B5"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I</w:t>
      </w:r>
      <w:r w:rsidRPr="000404B5">
        <w:rPr>
          <w:rFonts w:ascii="Times New Roman" w:eastAsia="Times New Roman" w:hAnsi="Times New Roman" w:cs="Times New Roman"/>
          <w:i/>
          <w:sz w:val="18"/>
          <w:szCs w:val="18"/>
        </w:rPr>
        <w:t>bid</w:t>
      </w:r>
      <w:r w:rsidRPr="000404B5">
        <w:rPr>
          <w:rFonts w:ascii="Times New Roman" w:eastAsia="Times New Roman" w:hAnsi="Times New Roman" w:cs="Times New Roman"/>
          <w:sz w:val="18"/>
          <w:szCs w:val="18"/>
        </w:rPr>
        <w:t xml:space="preserve">. </w:t>
      </w:r>
      <w:proofErr w:type="spellStart"/>
      <w:r w:rsidRPr="000404B5">
        <w:rPr>
          <w:rFonts w:ascii="Times New Roman" w:eastAsia="Times New Roman" w:hAnsi="Times New Roman" w:cs="Times New Roman"/>
          <w:sz w:val="18"/>
          <w:szCs w:val="18"/>
        </w:rPr>
        <w:t>Párrs</w:t>
      </w:r>
      <w:proofErr w:type="spellEnd"/>
      <w:r w:rsidRPr="000404B5">
        <w:rPr>
          <w:rFonts w:ascii="Times New Roman" w:eastAsia="Times New Roman" w:hAnsi="Times New Roman" w:cs="Times New Roman"/>
          <w:sz w:val="18"/>
          <w:szCs w:val="18"/>
        </w:rPr>
        <w:t>. 1048 y 1124.</w:t>
      </w:r>
    </w:p>
  </w:footnote>
  <w:footnote w:id="51">
    <w:p w14:paraId="11F6E9F2" w14:textId="01547060" w:rsidR="00D55D36" w:rsidRPr="000404B5"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0404B5">
        <w:rPr>
          <w:rFonts w:ascii="Times New Roman" w:hAnsi="Times New Roman" w:cs="Times New Roman"/>
          <w:sz w:val="18"/>
          <w:szCs w:val="18"/>
          <w:vertAlign w:val="superscript"/>
        </w:rPr>
        <w:footnoteRef/>
      </w:r>
      <w:r w:rsidRPr="000404B5">
        <w:rPr>
          <w:rFonts w:ascii="Times New Roman" w:eastAsia="Times New Roman" w:hAnsi="Times New Roman" w:cs="Times New Roman"/>
          <w:sz w:val="18"/>
          <w:szCs w:val="18"/>
        </w:rPr>
        <w:t xml:space="preserve"> Al respecto ver: INFOBAE. </w:t>
      </w:r>
      <w:r w:rsidRPr="000404B5">
        <w:rPr>
          <w:rFonts w:ascii="Times New Roman" w:eastAsia="Times New Roman" w:hAnsi="Times New Roman" w:cs="Times New Roman"/>
          <w:i/>
          <w:sz w:val="18"/>
          <w:szCs w:val="18"/>
        </w:rPr>
        <w:t>Quién es Ramón Avellán, el verdugo del régimen de Daniel Ortega acusado por el asesinato de 107 opositores.</w:t>
      </w:r>
      <w:r w:rsidRPr="000404B5">
        <w:rPr>
          <w:rFonts w:ascii="Times New Roman" w:eastAsia="Times New Roman" w:hAnsi="Times New Roman" w:cs="Times New Roman"/>
          <w:sz w:val="18"/>
          <w:szCs w:val="18"/>
        </w:rPr>
        <w:t xml:space="preserve"> 28 de diciembre de 2019. </w:t>
      </w:r>
      <w:hyperlink r:id="rId33" w:history="1">
        <w:r w:rsidR="000404B5" w:rsidRPr="000404B5">
          <w:rPr>
            <w:rStyle w:val="Hipervnculo"/>
            <w:rFonts w:ascii="Times New Roman" w:eastAsia="Times New Roman" w:hAnsi="Times New Roman" w:cs="Times New Roman"/>
            <w:color w:val="auto"/>
            <w:sz w:val="18"/>
            <w:szCs w:val="18"/>
          </w:rPr>
          <w:t>https://n9.cl/glial0</w:t>
        </w:r>
      </w:hyperlink>
      <w:r w:rsidR="000404B5"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i/>
          <w:sz w:val="18"/>
          <w:szCs w:val="18"/>
        </w:rPr>
        <w:t>Los represores premiados por Daniel Ortega tras la masacre de 2018</w:t>
      </w:r>
      <w:r w:rsidRPr="000404B5">
        <w:rPr>
          <w:rFonts w:ascii="Times New Roman" w:eastAsia="Times New Roman" w:hAnsi="Times New Roman" w:cs="Times New Roman"/>
          <w:sz w:val="18"/>
          <w:szCs w:val="18"/>
        </w:rPr>
        <w:t xml:space="preserve">. 21 de abril de 2023. </w:t>
      </w:r>
      <w:hyperlink r:id="rId34" w:history="1">
        <w:r w:rsidR="000404B5" w:rsidRPr="000404B5">
          <w:rPr>
            <w:rStyle w:val="Hipervnculo"/>
            <w:rFonts w:ascii="Times New Roman" w:eastAsia="Times New Roman" w:hAnsi="Times New Roman" w:cs="Times New Roman"/>
            <w:color w:val="auto"/>
            <w:sz w:val="18"/>
            <w:szCs w:val="18"/>
          </w:rPr>
          <w:t>https://n9.cl/n5vdj</w:t>
        </w:r>
      </w:hyperlink>
      <w:r w:rsidR="000404B5"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sz w:val="18"/>
          <w:szCs w:val="18"/>
        </w:rPr>
        <w:t xml:space="preserve">Ver también: GHREN. </w:t>
      </w:r>
      <w:r w:rsidRPr="000404B5">
        <w:rPr>
          <w:rFonts w:ascii="Times New Roman" w:eastAsia="Times New Roman" w:hAnsi="Times New Roman" w:cs="Times New Roman"/>
          <w:i/>
          <w:sz w:val="18"/>
          <w:szCs w:val="18"/>
        </w:rPr>
        <w:t>Conclusiones detalladas del Grupo de Expertos en Derechos Humanos sobre Nicaragua</w:t>
      </w:r>
      <w:r w:rsidRPr="000404B5">
        <w:rPr>
          <w:rFonts w:ascii="Times New Roman" w:eastAsia="Times New Roman" w:hAnsi="Times New Roman" w:cs="Times New Roman"/>
          <w:sz w:val="18"/>
          <w:szCs w:val="18"/>
        </w:rPr>
        <w:t xml:space="preserve">. </w:t>
      </w:r>
      <w:r w:rsidRPr="000404B5">
        <w:rPr>
          <w:rFonts w:ascii="Times New Roman" w:eastAsia="Times New Roman" w:hAnsi="Times New Roman" w:cs="Times New Roman"/>
          <w:i/>
          <w:sz w:val="18"/>
          <w:szCs w:val="18"/>
        </w:rPr>
        <w:t>Óp. Cit</w:t>
      </w:r>
      <w:r w:rsidRPr="000404B5">
        <w:rPr>
          <w:rFonts w:ascii="Times New Roman" w:eastAsia="Times New Roman" w:hAnsi="Times New Roman" w:cs="Times New Roman"/>
          <w:sz w:val="18"/>
          <w:szCs w:val="18"/>
        </w:rPr>
        <w:t xml:space="preserve">. </w:t>
      </w:r>
      <w:proofErr w:type="spellStart"/>
      <w:r w:rsidRPr="000404B5">
        <w:rPr>
          <w:rFonts w:ascii="Times New Roman" w:eastAsia="Times New Roman" w:hAnsi="Times New Roman" w:cs="Times New Roman"/>
          <w:sz w:val="18"/>
          <w:szCs w:val="18"/>
        </w:rPr>
        <w:t>Párrs</w:t>
      </w:r>
      <w:proofErr w:type="spellEnd"/>
      <w:r w:rsidRPr="000404B5">
        <w:rPr>
          <w:rFonts w:ascii="Times New Roman" w:eastAsia="Times New Roman" w:hAnsi="Times New Roman" w:cs="Times New Roman"/>
          <w:sz w:val="18"/>
          <w:szCs w:val="18"/>
        </w:rPr>
        <w:t>. 209 y 1190.</w:t>
      </w:r>
    </w:p>
  </w:footnote>
  <w:footnote w:id="52">
    <w:p w14:paraId="4879AA2D" w14:textId="6BDB9168" w:rsidR="00D55D36" w:rsidRPr="007B7A01"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b/>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Artículo 66. Edgar Altamirano, el operador judicial de la dictadura para condenar a líderes de la protesta. 19 de febrero de 2019. </w:t>
      </w:r>
      <w:hyperlink r:id="rId35" w:history="1">
        <w:r w:rsidR="000404B5" w:rsidRPr="007B7A01">
          <w:rPr>
            <w:rStyle w:val="Hipervnculo"/>
            <w:rFonts w:ascii="Times New Roman" w:hAnsi="Times New Roman" w:cs="Times New Roman"/>
            <w:color w:val="auto"/>
            <w:sz w:val="18"/>
            <w:szCs w:val="18"/>
          </w:rPr>
          <w:t>https://n9.cl/y00ih</w:t>
        </w:r>
      </w:hyperlink>
      <w:r w:rsidR="000404B5" w:rsidRPr="007B7A01">
        <w:rPr>
          <w:rFonts w:ascii="Times New Roman" w:hAnsi="Times New Roman" w:cs="Times New Roman"/>
          <w:sz w:val="18"/>
          <w:szCs w:val="18"/>
        </w:rPr>
        <w:t xml:space="preserve">; </w:t>
      </w:r>
      <w:r w:rsidRPr="007B7A01">
        <w:rPr>
          <w:rFonts w:ascii="Times New Roman" w:eastAsia="Times New Roman" w:hAnsi="Times New Roman" w:cs="Times New Roman"/>
          <w:sz w:val="18"/>
          <w:szCs w:val="18"/>
        </w:rPr>
        <w:t xml:space="preserve">Nicaragua Actual. Dictadura “premia” por “fidelidad y obediencia” a juez Edgard Altamirano con importante cargo dentro de la CSJ. 20 de mayo de 2020. </w:t>
      </w:r>
      <w:hyperlink r:id="rId36" w:history="1">
        <w:r w:rsidR="007B7A01" w:rsidRPr="007B7A01">
          <w:rPr>
            <w:rStyle w:val="Hipervnculo"/>
            <w:rFonts w:ascii="Times New Roman" w:hAnsi="Times New Roman" w:cs="Times New Roman"/>
            <w:color w:val="auto"/>
            <w:sz w:val="18"/>
            <w:szCs w:val="18"/>
          </w:rPr>
          <w:t>https://n9.cl/upopg</w:t>
        </w:r>
      </w:hyperlink>
      <w:r w:rsidR="007B7A01" w:rsidRPr="007B7A01">
        <w:rPr>
          <w:rFonts w:ascii="Times New Roman" w:hAnsi="Times New Roman" w:cs="Times New Roman"/>
          <w:sz w:val="18"/>
          <w:szCs w:val="18"/>
        </w:rPr>
        <w:t xml:space="preserve"> </w:t>
      </w:r>
    </w:p>
  </w:footnote>
  <w:footnote w:id="53">
    <w:p w14:paraId="7E826233" w14:textId="719D1F28" w:rsidR="00D55D36" w:rsidRPr="007B7A01"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Al respecto ver: La Prensa. </w:t>
      </w:r>
      <w:r w:rsidRPr="007B7A01">
        <w:rPr>
          <w:rFonts w:ascii="Times New Roman" w:eastAsia="Times New Roman" w:hAnsi="Times New Roman" w:cs="Times New Roman"/>
          <w:i/>
          <w:sz w:val="18"/>
          <w:szCs w:val="18"/>
        </w:rPr>
        <w:t>Jaime Navarrete, preso político que ya cumplió su condena sigue en La Modelo.</w:t>
      </w:r>
      <w:r w:rsidRPr="007B7A01">
        <w:rPr>
          <w:rFonts w:ascii="Times New Roman" w:eastAsia="Times New Roman" w:hAnsi="Times New Roman" w:cs="Times New Roman"/>
          <w:sz w:val="18"/>
          <w:szCs w:val="18"/>
        </w:rPr>
        <w:t xml:space="preserve"> 8 de abril de 2024. </w:t>
      </w:r>
      <w:hyperlink r:id="rId37" w:history="1">
        <w:r w:rsidR="007B7A01" w:rsidRPr="007B7A01">
          <w:rPr>
            <w:rStyle w:val="Hipervnculo"/>
            <w:rFonts w:ascii="Times New Roman" w:hAnsi="Times New Roman" w:cs="Times New Roman"/>
            <w:color w:val="auto"/>
            <w:sz w:val="18"/>
            <w:szCs w:val="18"/>
          </w:rPr>
          <w:t>https://n9.cl/yxvcav</w:t>
        </w:r>
      </w:hyperlink>
      <w:r w:rsidR="007B7A01" w:rsidRPr="007B7A01">
        <w:rPr>
          <w:rFonts w:ascii="Times New Roman" w:hAnsi="Times New Roman" w:cs="Times New Roman"/>
          <w:sz w:val="18"/>
          <w:szCs w:val="18"/>
        </w:rPr>
        <w:t xml:space="preserve"> </w:t>
      </w:r>
    </w:p>
  </w:footnote>
  <w:footnote w:id="54">
    <w:p w14:paraId="6AFE4745" w14:textId="77777777" w:rsidR="00D55D36" w:rsidRPr="007B7A01"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Al decir que fueron “fabricados”, no nos referimos a que la masacre del 19 de julio de 2014 y sus víctimas no son reales, sino a que los hechos para acreditar a nuestros 9 representados como autores de esa masacre si fueron fabricados. </w:t>
      </w:r>
    </w:p>
  </w:footnote>
  <w:footnote w:id="55">
    <w:p w14:paraId="38010EF0" w14:textId="77777777" w:rsidR="00D55D36" w:rsidRPr="001B5126"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GHREN. </w:t>
      </w:r>
      <w:r w:rsidRPr="007B7A01">
        <w:rPr>
          <w:rFonts w:ascii="Times New Roman" w:eastAsia="Times New Roman" w:hAnsi="Times New Roman" w:cs="Times New Roman"/>
          <w:i/>
          <w:sz w:val="18"/>
          <w:szCs w:val="18"/>
        </w:rPr>
        <w:t xml:space="preserve">Conclusiones detalladas del Grupo de Expertos en Derechos Humanos </w:t>
      </w:r>
      <w:r w:rsidRPr="001B5126">
        <w:rPr>
          <w:rFonts w:ascii="Times New Roman" w:eastAsia="Times New Roman" w:hAnsi="Times New Roman" w:cs="Times New Roman"/>
          <w:i/>
          <w:sz w:val="18"/>
          <w:szCs w:val="18"/>
        </w:rPr>
        <w:t>sobre Nicaragua</w:t>
      </w:r>
      <w:r w:rsidRPr="001B5126">
        <w:rPr>
          <w:rFonts w:ascii="Times New Roman" w:eastAsia="Times New Roman" w:hAnsi="Times New Roman" w:cs="Times New Roman"/>
          <w:sz w:val="18"/>
          <w:szCs w:val="18"/>
        </w:rPr>
        <w:t xml:space="preserve">. </w:t>
      </w:r>
      <w:r w:rsidRPr="001B5126">
        <w:rPr>
          <w:rFonts w:ascii="Times New Roman" w:eastAsia="Times New Roman" w:hAnsi="Times New Roman" w:cs="Times New Roman"/>
          <w:i/>
          <w:sz w:val="18"/>
          <w:szCs w:val="18"/>
        </w:rPr>
        <w:t>Óp. Cit.</w:t>
      </w:r>
      <w:r w:rsidRPr="001B5126">
        <w:rPr>
          <w:rFonts w:ascii="Times New Roman" w:eastAsia="Times New Roman" w:hAnsi="Times New Roman" w:cs="Times New Roman"/>
          <w:sz w:val="18"/>
          <w:szCs w:val="18"/>
        </w:rPr>
        <w:t xml:space="preserve"> Párr. 580</w:t>
      </w:r>
    </w:p>
  </w:footnote>
  <w:footnote w:id="56">
    <w:p w14:paraId="1BA6E42F" w14:textId="512542B2" w:rsidR="00D55D36" w:rsidRPr="007B7A01"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Asamblea Nacional. </w:t>
      </w:r>
      <w:r w:rsidRPr="007B7A01">
        <w:rPr>
          <w:rFonts w:ascii="Times New Roman" w:eastAsia="Times New Roman" w:hAnsi="Times New Roman" w:cs="Times New Roman"/>
          <w:i/>
          <w:sz w:val="18"/>
          <w:szCs w:val="18"/>
        </w:rPr>
        <w:t>Constitución Política de Nicaragua. Artículo 33.2.2</w:t>
      </w:r>
      <w:r w:rsidRPr="007B7A01">
        <w:rPr>
          <w:rFonts w:ascii="Times New Roman" w:eastAsia="Times New Roman" w:hAnsi="Times New Roman" w:cs="Times New Roman"/>
          <w:sz w:val="18"/>
          <w:szCs w:val="18"/>
        </w:rPr>
        <w:t xml:space="preserve">, </w:t>
      </w:r>
      <w:hyperlink r:id="rId38" w:history="1">
        <w:r w:rsidR="007B7A01" w:rsidRPr="007B7A01">
          <w:rPr>
            <w:rStyle w:val="Hipervnculo"/>
            <w:rFonts w:ascii="Times New Roman" w:hAnsi="Times New Roman" w:cs="Times New Roman"/>
            <w:color w:val="auto"/>
            <w:sz w:val="18"/>
            <w:szCs w:val="18"/>
          </w:rPr>
          <w:t>https://n9.cl/1zk9z6</w:t>
        </w:r>
      </w:hyperlink>
      <w:r w:rsidR="007B7A01" w:rsidRPr="007B7A01">
        <w:rPr>
          <w:rFonts w:ascii="Times New Roman" w:hAnsi="Times New Roman" w:cs="Times New Roman"/>
          <w:sz w:val="18"/>
          <w:szCs w:val="18"/>
        </w:rPr>
        <w:t xml:space="preserve"> </w:t>
      </w:r>
    </w:p>
  </w:footnote>
  <w:footnote w:id="57">
    <w:p w14:paraId="6C8C8E20" w14:textId="77777777" w:rsidR="00D55D36" w:rsidRPr="001B5126"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7B7A01">
        <w:rPr>
          <w:rFonts w:ascii="Times New Roman" w:hAnsi="Times New Roman" w:cs="Times New Roman"/>
          <w:sz w:val="18"/>
          <w:szCs w:val="18"/>
          <w:vertAlign w:val="superscript"/>
        </w:rPr>
        <w:footnoteRef/>
      </w:r>
      <w:r w:rsidRPr="007B7A01">
        <w:rPr>
          <w:rFonts w:ascii="Times New Roman" w:eastAsia="Times New Roman" w:hAnsi="Times New Roman" w:cs="Times New Roman"/>
          <w:sz w:val="18"/>
          <w:szCs w:val="18"/>
        </w:rPr>
        <w:t xml:space="preserve"> Asamblea Nacional. Código Procesal Penal de Nicaragua. </w:t>
      </w:r>
      <w:r w:rsidRPr="007B7A01">
        <w:rPr>
          <w:rFonts w:ascii="Times New Roman" w:eastAsia="Times New Roman" w:hAnsi="Times New Roman" w:cs="Times New Roman"/>
          <w:i/>
          <w:sz w:val="18"/>
          <w:szCs w:val="18"/>
        </w:rPr>
        <w:t>Óp. Cit</w:t>
      </w:r>
      <w:r w:rsidRPr="007B7A01">
        <w:rPr>
          <w:rFonts w:ascii="Times New Roman" w:eastAsia="Times New Roman" w:hAnsi="Times New Roman" w:cs="Times New Roman"/>
          <w:sz w:val="18"/>
          <w:szCs w:val="18"/>
        </w:rPr>
        <w:t>. Artículo 256. Este artículo señala de manera literal que: “Dentro de las cuarenta y ocho horas de su detención</w:t>
      </w:r>
      <w:r w:rsidRPr="001B5126">
        <w:rPr>
          <w:rFonts w:ascii="Times New Roman" w:eastAsia="Times New Roman" w:hAnsi="Times New Roman" w:cs="Times New Roman"/>
          <w:color w:val="000000"/>
          <w:sz w:val="18"/>
          <w:szCs w:val="18"/>
        </w:rPr>
        <w:t>, las autoridades correspondientes presentarán a la persona detenida ante el juez, para la realización de la Audiencia Preliminar, la cual se realizará inmediatamente En esta audiencia el fiscal deberá presentar la acusación ante el juez competente. Si este requisito no se cumple, el juez ordenará la libertad del detenido. El fiscal entregará al acusado una copia de la acusación”.</w:t>
      </w:r>
    </w:p>
  </w:footnote>
  <w:footnote w:id="58">
    <w:p w14:paraId="67356486" w14:textId="77777777" w:rsidR="00D55D36" w:rsidRPr="001B5126"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CCPR. </w:t>
      </w:r>
      <w:r w:rsidRPr="001B5126">
        <w:rPr>
          <w:rFonts w:ascii="Times New Roman" w:eastAsia="Times New Roman" w:hAnsi="Times New Roman" w:cs="Times New Roman"/>
          <w:i/>
          <w:sz w:val="18"/>
          <w:szCs w:val="18"/>
        </w:rPr>
        <w:t>Observación general No. 35. Artículo 9 (Libertad y seguridad personales</w:t>
      </w:r>
      <w:r w:rsidRPr="001B5126">
        <w:rPr>
          <w:rFonts w:ascii="Times New Roman" w:eastAsia="Times New Roman" w:hAnsi="Times New Roman" w:cs="Times New Roman"/>
          <w:sz w:val="18"/>
          <w:szCs w:val="18"/>
        </w:rPr>
        <w:t xml:space="preserve">) </w:t>
      </w:r>
      <w:r w:rsidRPr="001B5126">
        <w:rPr>
          <w:rFonts w:ascii="Times New Roman" w:eastAsia="Times New Roman" w:hAnsi="Times New Roman" w:cs="Times New Roman"/>
          <w:i/>
          <w:sz w:val="18"/>
          <w:szCs w:val="18"/>
        </w:rPr>
        <w:t>Óp. Cit.</w:t>
      </w:r>
      <w:r w:rsidRPr="001B5126">
        <w:rPr>
          <w:rFonts w:ascii="Times New Roman" w:eastAsia="Times New Roman" w:hAnsi="Times New Roman" w:cs="Times New Roman"/>
          <w:sz w:val="18"/>
          <w:szCs w:val="18"/>
        </w:rPr>
        <w:t xml:space="preserve">  Párr. 33.</w:t>
      </w:r>
    </w:p>
  </w:footnote>
  <w:footnote w:id="59">
    <w:p w14:paraId="24BC5625" w14:textId="123BD5AB" w:rsidR="00D55D36" w:rsidRPr="001B5126" w:rsidRDefault="005B5684" w:rsidP="007B7A01">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b/>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Pr="00785F5F">
        <w:rPr>
          <w:rFonts w:ascii="Times New Roman" w:eastAsia="Times New Roman" w:hAnsi="Times New Roman" w:cs="Times New Roman"/>
          <w:color w:val="000000"/>
          <w:sz w:val="16"/>
          <w:szCs w:val="16"/>
        </w:rPr>
        <w:t xml:space="preserve">Artículo 66. </w:t>
      </w:r>
      <w:r w:rsidRPr="00785F5F">
        <w:rPr>
          <w:rFonts w:ascii="Times New Roman" w:eastAsia="Times New Roman" w:hAnsi="Times New Roman" w:cs="Times New Roman"/>
          <w:i/>
          <w:iCs/>
          <w:color w:val="000000"/>
          <w:sz w:val="16"/>
          <w:szCs w:val="16"/>
        </w:rPr>
        <w:t>Edgar Altamirano, el operador judicial de la dictadura para condenar a líderes de la protesta</w:t>
      </w:r>
      <w:r w:rsidRPr="00785F5F">
        <w:rPr>
          <w:rFonts w:ascii="Times New Roman" w:eastAsia="Times New Roman" w:hAnsi="Times New Roman" w:cs="Times New Roman"/>
          <w:color w:val="000000"/>
          <w:sz w:val="16"/>
          <w:szCs w:val="16"/>
        </w:rPr>
        <w:t xml:space="preserve">. </w:t>
      </w:r>
      <w:r w:rsidR="00785F5F" w:rsidRPr="00785F5F">
        <w:rPr>
          <w:rFonts w:ascii="Times New Roman" w:eastAsia="Times New Roman" w:hAnsi="Times New Roman" w:cs="Times New Roman"/>
          <w:i/>
          <w:iCs/>
          <w:color w:val="000000"/>
          <w:sz w:val="16"/>
          <w:szCs w:val="16"/>
        </w:rPr>
        <w:t xml:space="preserve">Óp. </w:t>
      </w:r>
      <w:proofErr w:type="spellStart"/>
      <w:r w:rsidR="00785F5F" w:rsidRPr="00785F5F">
        <w:rPr>
          <w:rFonts w:ascii="Times New Roman" w:eastAsia="Times New Roman" w:hAnsi="Times New Roman" w:cs="Times New Roman"/>
          <w:i/>
          <w:iCs/>
          <w:color w:val="000000"/>
          <w:sz w:val="16"/>
          <w:szCs w:val="16"/>
        </w:rPr>
        <w:t>Cit</w:t>
      </w:r>
      <w:proofErr w:type="spellEnd"/>
      <w:r w:rsidRPr="00785F5F">
        <w:rPr>
          <w:rFonts w:ascii="Times New Roman" w:eastAsia="Times New Roman" w:hAnsi="Times New Roman" w:cs="Times New Roman"/>
          <w:color w:val="000000"/>
          <w:sz w:val="16"/>
          <w:szCs w:val="16"/>
        </w:rPr>
        <w:t xml:space="preserve">; Nicaragua Actual. </w:t>
      </w:r>
      <w:r w:rsidRPr="00785F5F">
        <w:rPr>
          <w:rFonts w:ascii="Times New Roman" w:eastAsia="Times New Roman" w:hAnsi="Times New Roman" w:cs="Times New Roman"/>
          <w:i/>
          <w:iCs/>
          <w:color w:val="000000"/>
          <w:sz w:val="16"/>
          <w:szCs w:val="16"/>
        </w:rPr>
        <w:t xml:space="preserve">Dictadura </w:t>
      </w:r>
      <w:r w:rsidRPr="00785F5F">
        <w:rPr>
          <w:rFonts w:ascii="Times New Roman" w:eastAsia="Times New Roman" w:hAnsi="Times New Roman" w:cs="Times New Roman"/>
          <w:i/>
          <w:iCs/>
          <w:color w:val="000000"/>
          <w:sz w:val="18"/>
          <w:szCs w:val="18"/>
        </w:rPr>
        <w:t>“premia” por “fidelidad y obediencia” a juez Edgard Altamirano con importante cargo dentro de la CSJ</w:t>
      </w:r>
      <w:r w:rsidRPr="001B5126">
        <w:rPr>
          <w:rFonts w:ascii="Times New Roman" w:eastAsia="Times New Roman" w:hAnsi="Times New Roman" w:cs="Times New Roman"/>
          <w:color w:val="000000"/>
          <w:sz w:val="18"/>
          <w:szCs w:val="18"/>
        </w:rPr>
        <w:t xml:space="preserve">. </w:t>
      </w:r>
      <w:r w:rsidR="00785F5F">
        <w:rPr>
          <w:rFonts w:ascii="Times New Roman" w:eastAsia="Times New Roman" w:hAnsi="Times New Roman" w:cs="Times New Roman"/>
          <w:color w:val="000000"/>
          <w:sz w:val="18"/>
          <w:szCs w:val="18"/>
        </w:rPr>
        <w:t>Óp. Cit.</w:t>
      </w:r>
    </w:p>
  </w:footnote>
  <w:footnote w:id="60">
    <w:p w14:paraId="6841884E" w14:textId="77777777" w:rsidR="00D55D36" w:rsidRPr="001B5126" w:rsidRDefault="005B5684" w:rsidP="001B5126">
      <w:pPr>
        <w:pBdr>
          <w:top w:val="nil"/>
          <w:left w:val="nil"/>
          <w:bottom w:val="nil"/>
          <w:right w:val="nil"/>
          <w:between w:val="nil"/>
        </w:pBdr>
        <w:spacing w:after="0" w:line="240" w:lineRule="auto"/>
        <w:jc w:val="both"/>
        <w:rPr>
          <w:rFonts w:ascii="Times New Roman" w:eastAsia="Times New Roman" w:hAnsi="Times New Roman" w:cs="Times New Roman"/>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sz w:val="18"/>
          <w:szCs w:val="18"/>
        </w:rPr>
        <w:t xml:space="preserve"> GHREN. </w:t>
      </w:r>
      <w:r w:rsidRPr="001B5126">
        <w:rPr>
          <w:rFonts w:ascii="Times New Roman" w:eastAsia="Times New Roman" w:hAnsi="Times New Roman" w:cs="Times New Roman"/>
          <w:i/>
          <w:sz w:val="18"/>
          <w:szCs w:val="18"/>
        </w:rPr>
        <w:t>Conclusiones detalladas del Grupo de Expertos en Derechos Humanos sobre Nicaragua</w:t>
      </w:r>
      <w:r w:rsidRPr="001B5126">
        <w:rPr>
          <w:rFonts w:ascii="Times New Roman" w:eastAsia="Times New Roman" w:hAnsi="Times New Roman" w:cs="Times New Roman"/>
          <w:sz w:val="18"/>
          <w:szCs w:val="18"/>
        </w:rPr>
        <w:t xml:space="preserve">. </w:t>
      </w:r>
      <w:r w:rsidRPr="001B5126">
        <w:rPr>
          <w:rFonts w:ascii="Times New Roman" w:eastAsia="Times New Roman" w:hAnsi="Times New Roman" w:cs="Times New Roman"/>
          <w:i/>
          <w:sz w:val="18"/>
          <w:szCs w:val="18"/>
        </w:rPr>
        <w:t>Óp. Cit.</w:t>
      </w:r>
      <w:r w:rsidRPr="001B5126">
        <w:rPr>
          <w:rFonts w:ascii="Times New Roman" w:eastAsia="Times New Roman" w:hAnsi="Times New Roman" w:cs="Times New Roman"/>
          <w:sz w:val="18"/>
          <w:szCs w:val="18"/>
        </w:rPr>
        <w:t xml:space="preserve">  Párr. 1167.</w:t>
      </w:r>
    </w:p>
  </w:footnote>
  <w:footnote w:id="61">
    <w:p w14:paraId="35170163"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CCPR. </w:t>
      </w:r>
      <w:r w:rsidRPr="001B5126">
        <w:rPr>
          <w:rFonts w:ascii="Times New Roman" w:eastAsia="Times New Roman" w:hAnsi="Times New Roman" w:cs="Times New Roman"/>
          <w:i/>
          <w:color w:val="000000"/>
          <w:sz w:val="18"/>
          <w:szCs w:val="18"/>
        </w:rPr>
        <w:t xml:space="preserve">Observación General No. 32. Óp. Cit. </w:t>
      </w:r>
      <w:r w:rsidRPr="001B5126">
        <w:rPr>
          <w:rFonts w:ascii="Times New Roman" w:eastAsia="Times New Roman" w:hAnsi="Times New Roman" w:cs="Times New Roman"/>
          <w:color w:val="000000"/>
          <w:sz w:val="18"/>
          <w:szCs w:val="18"/>
        </w:rPr>
        <w:t xml:space="preserve"> Párr. 30.</w:t>
      </w:r>
    </w:p>
  </w:footnote>
  <w:footnote w:id="62">
    <w:p w14:paraId="4E9CFFC4" w14:textId="7C701ED6"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Corte IDH. </w:t>
      </w:r>
      <w:r w:rsidRPr="001B5126">
        <w:rPr>
          <w:rFonts w:ascii="Times New Roman" w:eastAsia="Times New Roman" w:hAnsi="Times New Roman" w:cs="Times New Roman"/>
          <w:i/>
          <w:color w:val="000000"/>
          <w:sz w:val="18"/>
          <w:szCs w:val="18"/>
        </w:rPr>
        <w:t>Caso Pollo Rivera y otros Vs. Perú</w:t>
      </w:r>
      <w:r w:rsidRPr="001B5126">
        <w:rPr>
          <w:rFonts w:ascii="Times New Roman" w:eastAsia="Times New Roman" w:hAnsi="Times New Roman" w:cs="Times New Roman"/>
          <w:color w:val="000000"/>
          <w:sz w:val="18"/>
          <w:szCs w:val="18"/>
        </w:rPr>
        <w:t xml:space="preserve">. Fondo, Reparaciones y Costas. Sentencia </w:t>
      </w:r>
      <w:r w:rsidR="00785F5F">
        <w:rPr>
          <w:rFonts w:ascii="Times New Roman" w:eastAsia="Times New Roman" w:hAnsi="Times New Roman" w:cs="Times New Roman"/>
          <w:color w:val="000000"/>
          <w:sz w:val="18"/>
          <w:szCs w:val="18"/>
        </w:rPr>
        <w:t xml:space="preserve">de </w:t>
      </w:r>
      <w:r w:rsidRPr="001B5126">
        <w:rPr>
          <w:rFonts w:ascii="Times New Roman" w:eastAsia="Times New Roman" w:hAnsi="Times New Roman" w:cs="Times New Roman"/>
          <w:color w:val="000000"/>
          <w:sz w:val="18"/>
          <w:szCs w:val="18"/>
        </w:rPr>
        <w:t xml:space="preserve">2016. Serie C no. 319. Párr. 177. </w:t>
      </w:r>
    </w:p>
  </w:footnote>
  <w:footnote w:id="63">
    <w:p w14:paraId="780CE302" w14:textId="5FE7E148"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GTDA. </w:t>
      </w:r>
      <w:r w:rsidRPr="001B5126">
        <w:rPr>
          <w:rFonts w:ascii="Times New Roman" w:eastAsia="Times New Roman" w:hAnsi="Times New Roman" w:cs="Times New Roman"/>
          <w:i/>
          <w:color w:val="000000"/>
          <w:sz w:val="18"/>
          <w:szCs w:val="18"/>
        </w:rPr>
        <w:t>Opinión núm. 17/2020</w:t>
      </w:r>
      <w:r w:rsidR="00112535">
        <w:rPr>
          <w:rFonts w:ascii="Times New Roman" w:eastAsia="Times New Roman" w:hAnsi="Times New Roman" w:cs="Times New Roman"/>
          <w:i/>
          <w:color w:val="000000"/>
          <w:sz w:val="18"/>
          <w:szCs w:val="18"/>
        </w:rPr>
        <w:t xml:space="preserve">. </w:t>
      </w:r>
      <w:r w:rsidRPr="001B5126">
        <w:rPr>
          <w:rFonts w:ascii="Times New Roman" w:eastAsia="Times New Roman" w:hAnsi="Times New Roman" w:cs="Times New Roman"/>
          <w:i/>
          <w:color w:val="000000"/>
          <w:sz w:val="18"/>
          <w:szCs w:val="18"/>
        </w:rPr>
        <w:t>Miguel Mora y Lucía Pineda (Nicaragua). A</w:t>
      </w:r>
      <w:r w:rsidRPr="001B5126">
        <w:rPr>
          <w:rFonts w:ascii="Times New Roman" w:eastAsia="Times New Roman" w:hAnsi="Times New Roman" w:cs="Times New Roman"/>
          <w:color w:val="000000"/>
          <w:sz w:val="18"/>
          <w:szCs w:val="18"/>
        </w:rPr>
        <w:t>/HRC/WGAD/2020/17. 2</w:t>
      </w:r>
      <w:r w:rsidR="00112535">
        <w:rPr>
          <w:rFonts w:ascii="Times New Roman" w:eastAsia="Times New Roman" w:hAnsi="Times New Roman" w:cs="Times New Roman"/>
          <w:color w:val="000000"/>
          <w:sz w:val="18"/>
          <w:szCs w:val="18"/>
        </w:rPr>
        <w:t>/07/</w:t>
      </w:r>
      <w:r w:rsidRPr="001B5126">
        <w:rPr>
          <w:rFonts w:ascii="Times New Roman" w:eastAsia="Times New Roman" w:hAnsi="Times New Roman" w:cs="Times New Roman"/>
          <w:color w:val="000000"/>
          <w:sz w:val="18"/>
          <w:szCs w:val="18"/>
        </w:rPr>
        <w:t>2020. Párr. 90</w:t>
      </w:r>
    </w:p>
  </w:footnote>
  <w:footnote w:id="64">
    <w:p w14:paraId="216DB7A5" w14:textId="37ED7091"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740A90">
        <w:rPr>
          <w:rFonts w:ascii="Times New Roman" w:eastAsia="Times New Roman" w:hAnsi="Times New Roman" w:cs="Times New Roman"/>
          <w:color w:val="000000"/>
          <w:sz w:val="18"/>
          <w:szCs w:val="18"/>
        </w:rPr>
        <w:t>Ver:</w:t>
      </w:r>
      <w:r w:rsidRPr="001B5126">
        <w:rPr>
          <w:rFonts w:ascii="Times New Roman" w:eastAsia="Times New Roman" w:hAnsi="Times New Roman" w:cs="Times New Roman"/>
          <w:color w:val="000000"/>
          <w:sz w:val="18"/>
          <w:szCs w:val="18"/>
        </w:rPr>
        <w:t xml:space="preserve"> El 19 Digital. </w:t>
      </w:r>
      <w:r w:rsidRPr="001B5126">
        <w:rPr>
          <w:rFonts w:ascii="Times New Roman" w:eastAsia="Times New Roman" w:hAnsi="Times New Roman" w:cs="Times New Roman"/>
          <w:i/>
          <w:color w:val="000000"/>
          <w:sz w:val="18"/>
          <w:szCs w:val="18"/>
        </w:rPr>
        <w:t>Policía Nacional presenta resultados de investigaciones en el caso de la masacre del 19 de julio</w:t>
      </w:r>
      <w:r w:rsidRPr="001B5126">
        <w:rPr>
          <w:rFonts w:ascii="Times New Roman" w:eastAsia="Times New Roman" w:hAnsi="Times New Roman" w:cs="Times New Roman"/>
          <w:color w:val="000000"/>
          <w:sz w:val="18"/>
          <w:szCs w:val="18"/>
        </w:rPr>
        <w:t>. Óp. Cit.; E</w:t>
      </w:r>
      <w:r w:rsidRPr="001B5126">
        <w:rPr>
          <w:rFonts w:ascii="Times New Roman" w:eastAsia="Times New Roman" w:hAnsi="Times New Roman" w:cs="Times New Roman"/>
          <w:i/>
          <w:color w:val="000000"/>
          <w:sz w:val="18"/>
          <w:szCs w:val="18"/>
        </w:rPr>
        <w:t>l 19 Digital. Policía Nacional explica detalle a detalle cómo ocurrió la masacre del 19 de julio.</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w:t>
      </w:r>
    </w:p>
  </w:footnote>
  <w:footnote w:id="65">
    <w:p w14:paraId="092AE86C" w14:textId="5B66C8E9"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740A90">
        <w:rPr>
          <w:rFonts w:ascii="Times New Roman" w:eastAsia="Times New Roman" w:hAnsi="Times New Roman" w:cs="Times New Roman"/>
          <w:color w:val="000000"/>
          <w:sz w:val="18"/>
          <w:szCs w:val="18"/>
        </w:rPr>
        <w:t>Ver:</w:t>
      </w:r>
      <w:r w:rsidRPr="001B5126">
        <w:rPr>
          <w:rFonts w:ascii="Times New Roman" w:eastAsia="Times New Roman" w:hAnsi="Times New Roman" w:cs="Times New Roman"/>
          <w:color w:val="000000"/>
          <w:sz w:val="18"/>
          <w:szCs w:val="18"/>
        </w:rPr>
        <w:t xml:space="preserve"> El 19 Digital. </w:t>
      </w:r>
      <w:r w:rsidRPr="001B5126">
        <w:rPr>
          <w:rFonts w:ascii="Times New Roman" w:eastAsia="Times New Roman" w:hAnsi="Times New Roman" w:cs="Times New Roman"/>
          <w:i/>
          <w:color w:val="000000"/>
          <w:sz w:val="18"/>
          <w:szCs w:val="18"/>
        </w:rPr>
        <w:t>Policía Nacional presenta resultados de investigaciones en el caso de la masacre del 19 de julio</w:t>
      </w:r>
      <w:r w:rsidRPr="001B5126">
        <w:rPr>
          <w:rFonts w:ascii="Times New Roman" w:eastAsia="Times New Roman" w:hAnsi="Times New Roman" w:cs="Times New Roman"/>
          <w:color w:val="000000"/>
          <w:sz w:val="18"/>
          <w:szCs w:val="18"/>
        </w:rPr>
        <w:t xml:space="preserve">. Óp. Cit. </w:t>
      </w:r>
    </w:p>
  </w:footnote>
  <w:footnote w:id="66">
    <w:p w14:paraId="4E23228B"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E</w:t>
      </w:r>
      <w:r w:rsidRPr="001B5126">
        <w:rPr>
          <w:rFonts w:ascii="Times New Roman" w:eastAsia="Times New Roman" w:hAnsi="Times New Roman" w:cs="Times New Roman"/>
          <w:i/>
          <w:color w:val="000000"/>
          <w:sz w:val="18"/>
          <w:szCs w:val="18"/>
        </w:rPr>
        <w:t>l 19 Digital. Policía Nacional explica detalle a detalle cómo ocurrió la masacre del 19 de julio.</w:t>
      </w:r>
      <w:r w:rsidRPr="001B5126">
        <w:rPr>
          <w:rFonts w:ascii="Times New Roman" w:eastAsia="Times New Roman" w:hAnsi="Times New Roman" w:cs="Times New Roman"/>
          <w:color w:val="000000"/>
          <w:sz w:val="18"/>
          <w:szCs w:val="18"/>
        </w:rPr>
        <w:t xml:space="preserve"> Óp. Cit.</w:t>
      </w:r>
    </w:p>
  </w:footnote>
  <w:footnote w:id="67">
    <w:p w14:paraId="34F107E3" w14:textId="7F2C0A03"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112535">
        <w:rPr>
          <w:rFonts w:ascii="Times New Roman" w:eastAsia="Times New Roman" w:hAnsi="Times New Roman" w:cs="Times New Roman"/>
          <w:color w:val="000000"/>
          <w:sz w:val="18"/>
          <w:szCs w:val="18"/>
        </w:rPr>
        <w:t xml:space="preserve">Ver: </w:t>
      </w:r>
      <w:r w:rsidRPr="001B5126">
        <w:rPr>
          <w:rFonts w:ascii="Times New Roman" w:eastAsia="Times New Roman" w:hAnsi="Times New Roman" w:cs="Times New Roman"/>
          <w:color w:val="000000"/>
          <w:sz w:val="18"/>
          <w:szCs w:val="18"/>
        </w:rPr>
        <w:t xml:space="preserve">El 19 Digital. </w:t>
      </w:r>
      <w:r w:rsidRPr="001B5126">
        <w:rPr>
          <w:rFonts w:ascii="Times New Roman" w:eastAsia="Times New Roman" w:hAnsi="Times New Roman" w:cs="Times New Roman"/>
          <w:i/>
          <w:color w:val="000000"/>
          <w:sz w:val="18"/>
          <w:szCs w:val="18"/>
        </w:rPr>
        <w:t>Policía Nacional presenta resultados de investigaciones en el caso de la masacre del 19 de julio. Óp. Cit.</w:t>
      </w:r>
    </w:p>
  </w:footnote>
  <w:footnote w:id="68">
    <w:p w14:paraId="1DC85DB1"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E</w:t>
      </w:r>
      <w:r w:rsidRPr="001B5126">
        <w:rPr>
          <w:rFonts w:ascii="Times New Roman" w:eastAsia="Times New Roman" w:hAnsi="Times New Roman" w:cs="Times New Roman"/>
          <w:i/>
          <w:color w:val="000000"/>
          <w:sz w:val="18"/>
          <w:szCs w:val="18"/>
        </w:rPr>
        <w:t>l 19 Digital. Policía Nacional explica detalle a detalle cómo ocurrió la masacre del 19 de julio.</w:t>
      </w:r>
      <w:r w:rsidRPr="001B5126">
        <w:rPr>
          <w:rFonts w:ascii="Times New Roman" w:eastAsia="Times New Roman" w:hAnsi="Times New Roman" w:cs="Times New Roman"/>
          <w:color w:val="000000"/>
          <w:sz w:val="18"/>
          <w:szCs w:val="18"/>
        </w:rPr>
        <w:t xml:space="preserve"> Óp. Cit.</w:t>
      </w:r>
    </w:p>
  </w:footnote>
  <w:footnote w:id="69">
    <w:p w14:paraId="2ABF1B0E"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Corte IDH. </w:t>
      </w:r>
      <w:r w:rsidRPr="001B5126">
        <w:rPr>
          <w:rFonts w:ascii="Times New Roman" w:eastAsia="Times New Roman" w:hAnsi="Times New Roman" w:cs="Times New Roman"/>
          <w:i/>
          <w:color w:val="000000"/>
          <w:sz w:val="18"/>
          <w:szCs w:val="18"/>
        </w:rPr>
        <w:t>Caso Zegarra Marín Vs. Perú</w:t>
      </w:r>
      <w:r w:rsidRPr="001B5126">
        <w:rPr>
          <w:rFonts w:ascii="Times New Roman" w:eastAsia="Times New Roman" w:hAnsi="Times New Roman" w:cs="Times New Roman"/>
          <w:color w:val="000000"/>
          <w:sz w:val="18"/>
          <w:szCs w:val="18"/>
        </w:rPr>
        <w:t>. Excepciones Preliminares, Fondo, Reparaciones y Costas. Sentencia de 15 de febrero de 2017. Serie C No. 331. Párr. 142.</w:t>
      </w:r>
    </w:p>
  </w:footnote>
  <w:footnote w:id="70">
    <w:p w14:paraId="007DB411" w14:textId="1670A43E"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29194F" w:rsidRPr="004161BA">
        <w:rPr>
          <w:rFonts w:ascii="Times New Roman" w:eastAsia="Times New Roman" w:hAnsi="Times New Roman" w:cs="Times New Roman"/>
          <w:sz w:val="18"/>
          <w:szCs w:val="18"/>
        </w:rPr>
        <w:t xml:space="preserve">Confidencial. </w:t>
      </w:r>
      <w:r w:rsidR="0029194F" w:rsidRPr="004161BA">
        <w:rPr>
          <w:rFonts w:ascii="Times New Roman" w:eastAsia="Times New Roman" w:hAnsi="Times New Roman" w:cs="Times New Roman"/>
          <w:i/>
          <w:iCs/>
          <w:sz w:val="18"/>
          <w:szCs w:val="18"/>
        </w:rPr>
        <w:t>Condenan a 12 por masacre del 19: Acusados denuncian torturas policiales para incriminarlos.</w:t>
      </w:r>
      <w:r w:rsidR="0029194F" w:rsidRPr="004161BA">
        <w:rPr>
          <w:rFonts w:ascii="Times New Roman" w:eastAsia="Times New Roman" w:hAnsi="Times New Roman" w:cs="Times New Roman"/>
          <w:sz w:val="18"/>
          <w:szCs w:val="18"/>
        </w:rPr>
        <w:t xml:space="preserve"> 13 de octubre de 2014. Minutos 1’52-2’47.</w:t>
      </w:r>
      <w:r w:rsidR="0029194F" w:rsidRPr="004161BA">
        <w:rPr>
          <w:rFonts w:ascii="Times New Roman" w:hAnsi="Times New Roman" w:cs="Times New Roman"/>
          <w:sz w:val="18"/>
          <w:szCs w:val="18"/>
        </w:rPr>
        <w:t xml:space="preserve"> </w:t>
      </w:r>
      <w:hyperlink r:id="rId39" w:history="1">
        <w:r w:rsidR="0029194F" w:rsidRPr="004161BA">
          <w:rPr>
            <w:rStyle w:val="Hipervnculo"/>
            <w:rFonts w:ascii="Times New Roman" w:hAnsi="Times New Roman" w:cs="Times New Roman"/>
            <w:color w:val="auto"/>
            <w:sz w:val="18"/>
            <w:szCs w:val="18"/>
          </w:rPr>
          <w:t>https://www.youtube.com/watch?v=vFe3F7uwvE8</w:t>
        </w:r>
      </w:hyperlink>
    </w:p>
  </w:footnote>
  <w:footnote w:id="71">
    <w:p w14:paraId="7171AAB1"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CCPR. </w:t>
      </w:r>
      <w:r w:rsidRPr="001B5126">
        <w:rPr>
          <w:rFonts w:ascii="Times New Roman" w:eastAsia="Times New Roman" w:hAnsi="Times New Roman" w:cs="Times New Roman"/>
          <w:i/>
          <w:color w:val="000000"/>
          <w:sz w:val="18"/>
          <w:szCs w:val="18"/>
        </w:rPr>
        <w:t xml:space="preserve">Observación General No. 32. Óp. Cit. </w:t>
      </w:r>
      <w:r w:rsidRPr="001B5126">
        <w:rPr>
          <w:rFonts w:ascii="Times New Roman" w:eastAsia="Times New Roman" w:hAnsi="Times New Roman" w:cs="Times New Roman"/>
          <w:color w:val="000000"/>
          <w:sz w:val="18"/>
          <w:szCs w:val="18"/>
        </w:rPr>
        <w:t xml:space="preserve"> Párr. 34.</w:t>
      </w:r>
    </w:p>
  </w:footnote>
  <w:footnote w:id="72">
    <w:p w14:paraId="30AE4330"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GTDA. </w:t>
      </w:r>
      <w:r w:rsidRPr="001B5126">
        <w:rPr>
          <w:rFonts w:ascii="Times New Roman" w:eastAsia="Times New Roman" w:hAnsi="Times New Roman" w:cs="Times New Roman"/>
          <w:i/>
          <w:color w:val="000000"/>
          <w:sz w:val="18"/>
          <w:szCs w:val="18"/>
        </w:rPr>
        <w:t xml:space="preserve">Opinión núm. 79/2020, relativa a Ahmed Yasser </w:t>
      </w:r>
      <w:proofErr w:type="spellStart"/>
      <w:r w:rsidRPr="001B5126">
        <w:rPr>
          <w:rFonts w:ascii="Times New Roman" w:eastAsia="Times New Roman" w:hAnsi="Times New Roman" w:cs="Times New Roman"/>
          <w:i/>
          <w:color w:val="000000"/>
          <w:sz w:val="18"/>
          <w:szCs w:val="18"/>
        </w:rPr>
        <w:t>Mahmoud</w:t>
      </w:r>
      <w:proofErr w:type="spellEnd"/>
      <w:r w:rsidRPr="001B5126">
        <w:rPr>
          <w:rFonts w:ascii="Times New Roman" w:eastAsia="Times New Roman" w:hAnsi="Times New Roman" w:cs="Times New Roman"/>
          <w:i/>
          <w:color w:val="000000"/>
          <w:sz w:val="18"/>
          <w:szCs w:val="18"/>
        </w:rPr>
        <w:t xml:space="preserve"> Ahmed Hassan (Egipto</w:t>
      </w:r>
      <w:r w:rsidRPr="001B5126">
        <w:rPr>
          <w:rFonts w:ascii="Times New Roman" w:eastAsia="Times New Roman" w:hAnsi="Times New Roman" w:cs="Times New Roman"/>
          <w:color w:val="000000"/>
          <w:sz w:val="18"/>
          <w:szCs w:val="18"/>
        </w:rPr>
        <w:t>). A/HRC/WGAD/2020/79. 4 de marzo de 2021. Párr. 38</w:t>
      </w:r>
    </w:p>
  </w:footnote>
  <w:footnote w:id="73">
    <w:p w14:paraId="5D06D0E6"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CCPR. </w:t>
      </w:r>
      <w:r w:rsidRPr="001B5126">
        <w:rPr>
          <w:rFonts w:ascii="Times New Roman" w:eastAsia="Times New Roman" w:hAnsi="Times New Roman" w:cs="Times New Roman"/>
          <w:i/>
          <w:color w:val="000000"/>
          <w:sz w:val="18"/>
          <w:szCs w:val="18"/>
        </w:rPr>
        <w:t xml:space="preserve">Observación General No. 32. Óp. Cit. </w:t>
      </w:r>
      <w:r w:rsidRPr="001B5126">
        <w:rPr>
          <w:rFonts w:ascii="Times New Roman" w:eastAsia="Times New Roman" w:hAnsi="Times New Roman" w:cs="Times New Roman"/>
          <w:color w:val="000000"/>
          <w:sz w:val="18"/>
          <w:szCs w:val="18"/>
        </w:rPr>
        <w:t xml:space="preserve"> Párr. 33.</w:t>
      </w:r>
    </w:p>
  </w:footnote>
  <w:footnote w:id="74">
    <w:p w14:paraId="6988E177"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Arial"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Arial" w:hAnsi="Times New Roman" w:cs="Times New Roman"/>
          <w:color w:val="000000"/>
          <w:sz w:val="18"/>
          <w:szCs w:val="18"/>
        </w:rPr>
        <w:t xml:space="preserve"> </w:t>
      </w:r>
      <w:r w:rsidRPr="001B5126">
        <w:rPr>
          <w:rFonts w:ascii="Times New Roman" w:eastAsia="Times New Roman" w:hAnsi="Times New Roman" w:cs="Times New Roman"/>
          <w:color w:val="000000"/>
          <w:sz w:val="18"/>
          <w:szCs w:val="18"/>
        </w:rPr>
        <w:t xml:space="preserve">Corte IDH. </w:t>
      </w:r>
      <w:r w:rsidRPr="001B5126">
        <w:rPr>
          <w:rFonts w:ascii="Times New Roman" w:eastAsia="Times New Roman" w:hAnsi="Times New Roman" w:cs="Times New Roman"/>
          <w:i/>
          <w:color w:val="000000"/>
          <w:sz w:val="18"/>
          <w:szCs w:val="18"/>
        </w:rPr>
        <w:t>Caso Omar Humberto Maldonado Vargas y otros Vs. Chile. Fondo, Reparaciones y Costas</w:t>
      </w:r>
      <w:r w:rsidRPr="001B5126">
        <w:rPr>
          <w:rFonts w:ascii="Times New Roman" w:eastAsia="Times New Roman" w:hAnsi="Times New Roman" w:cs="Times New Roman"/>
          <w:color w:val="000000"/>
          <w:sz w:val="18"/>
          <w:szCs w:val="18"/>
        </w:rPr>
        <w:t>. Sentencia de 02 de septiembre de 2015. Párr. 76. Ver también. ONU</w:t>
      </w:r>
      <w:r w:rsidRPr="001B5126">
        <w:rPr>
          <w:rFonts w:ascii="Times New Roman" w:eastAsia="Times New Roman" w:hAnsi="Times New Roman" w:cs="Times New Roman"/>
          <w:i/>
          <w:color w:val="000000"/>
          <w:sz w:val="18"/>
          <w:szCs w:val="18"/>
        </w:rPr>
        <w:t>. Convención contra la Tortura y Otros Tratos o Penas Crueles, Inhumanos o Degradantes</w:t>
      </w:r>
      <w:r w:rsidRPr="001B5126">
        <w:rPr>
          <w:rFonts w:ascii="Times New Roman" w:eastAsia="Times New Roman" w:hAnsi="Times New Roman" w:cs="Times New Roman"/>
          <w:color w:val="000000"/>
          <w:sz w:val="18"/>
          <w:szCs w:val="18"/>
        </w:rPr>
        <w:t>. Ratificado por Nicaragua en 2005. Artículos 6 y 12.</w:t>
      </w:r>
    </w:p>
  </w:footnote>
  <w:footnote w:id="75">
    <w:p w14:paraId="433E913C" w14:textId="363084DA"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29194F" w:rsidRPr="004161BA">
        <w:rPr>
          <w:rFonts w:ascii="Times New Roman" w:eastAsia="Times New Roman" w:hAnsi="Times New Roman" w:cs="Times New Roman"/>
          <w:sz w:val="18"/>
          <w:szCs w:val="18"/>
        </w:rPr>
        <w:t xml:space="preserve">Confidencial. </w:t>
      </w:r>
      <w:r w:rsidR="0029194F" w:rsidRPr="004161BA">
        <w:rPr>
          <w:rFonts w:ascii="Times New Roman" w:eastAsia="Times New Roman" w:hAnsi="Times New Roman" w:cs="Times New Roman"/>
          <w:i/>
          <w:iCs/>
          <w:sz w:val="18"/>
          <w:szCs w:val="18"/>
        </w:rPr>
        <w:t>Condenan a 12 por masacre del 19: Acusados denuncian torturas policiales para incriminarlos.</w:t>
      </w:r>
      <w:r w:rsidR="0029194F" w:rsidRPr="004161BA">
        <w:rPr>
          <w:rFonts w:ascii="Times New Roman" w:eastAsia="Times New Roman" w:hAnsi="Times New Roman" w:cs="Times New Roman"/>
          <w:sz w:val="18"/>
          <w:szCs w:val="18"/>
        </w:rPr>
        <w:t xml:space="preserve"> 13 de octubre de 2014. </w:t>
      </w:r>
      <w:r w:rsidR="0029194F" w:rsidRPr="001B5126">
        <w:rPr>
          <w:rFonts w:ascii="Times New Roman" w:eastAsia="Times New Roman" w:hAnsi="Times New Roman" w:cs="Times New Roman"/>
          <w:color w:val="000000"/>
          <w:sz w:val="18"/>
          <w:szCs w:val="18"/>
        </w:rPr>
        <w:t>Minutos 2’50-6’28</w:t>
      </w:r>
      <w:r w:rsidR="0029194F" w:rsidRPr="004161BA">
        <w:rPr>
          <w:rFonts w:ascii="Times New Roman" w:eastAsia="Times New Roman" w:hAnsi="Times New Roman" w:cs="Times New Roman"/>
          <w:sz w:val="18"/>
          <w:szCs w:val="18"/>
        </w:rPr>
        <w:t>.</w:t>
      </w:r>
      <w:r w:rsidR="0029194F" w:rsidRPr="004161BA">
        <w:rPr>
          <w:rFonts w:ascii="Times New Roman" w:hAnsi="Times New Roman" w:cs="Times New Roman"/>
          <w:sz w:val="18"/>
          <w:szCs w:val="18"/>
        </w:rPr>
        <w:t xml:space="preserve"> </w:t>
      </w:r>
      <w:hyperlink r:id="rId40" w:history="1">
        <w:r w:rsidR="0029194F" w:rsidRPr="004161BA">
          <w:rPr>
            <w:rStyle w:val="Hipervnculo"/>
            <w:rFonts w:ascii="Times New Roman" w:hAnsi="Times New Roman" w:cs="Times New Roman"/>
            <w:color w:val="auto"/>
            <w:sz w:val="18"/>
            <w:szCs w:val="18"/>
          </w:rPr>
          <w:t>https://www.youtube.com/watch?v=vFe3F7uwvE8</w:t>
        </w:r>
      </w:hyperlink>
      <w:r w:rsidR="0029194F" w:rsidRPr="004161BA">
        <w:rPr>
          <w:rFonts w:ascii="Times New Roman" w:hAnsi="Times New Roman" w:cs="Times New Roman"/>
          <w:sz w:val="18"/>
          <w:szCs w:val="18"/>
        </w:rPr>
        <w:t xml:space="preserve"> </w:t>
      </w:r>
    </w:p>
  </w:footnote>
  <w:footnote w:id="76">
    <w:p w14:paraId="5B7BDAC6"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CCPR. </w:t>
      </w:r>
      <w:r w:rsidRPr="001B5126">
        <w:rPr>
          <w:rFonts w:ascii="Times New Roman" w:eastAsia="Times New Roman" w:hAnsi="Times New Roman" w:cs="Times New Roman"/>
          <w:i/>
          <w:color w:val="000000"/>
          <w:sz w:val="18"/>
          <w:szCs w:val="18"/>
        </w:rPr>
        <w:t>Observación General No. 32</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Párr. 23.</w:t>
      </w:r>
    </w:p>
  </w:footnote>
  <w:footnote w:id="77">
    <w:p w14:paraId="3984CC86"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CCPR. </w:t>
      </w:r>
      <w:r w:rsidRPr="001B5126">
        <w:rPr>
          <w:rFonts w:ascii="Times New Roman" w:eastAsia="Times New Roman" w:hAnsi="Times New Roman" w:cs="Times New Roman"/>
          <w:i/>
          <w:color w:val="000000"/>
          <w:sz w:val="18"/>
          <w:szCs w:val="18"/>
        </w:rPr>
        <w:t>Observación General No. 32</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Párr. 35.</w:t>
      </w:r>
    </w:p>
  </w:footnote>
  <w:footnote w:id="78">
    <w:p w14:paraId="36A70E6A"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Corte IDH. </w:t>
      </w:r>
      <w:r w:rsidRPr="001B5126">
        <w:rPr>
          <w:rFonts w:ascii="Times New Roman" w:eastAsia="Times New Roman" w:hAnsi="Times New Roman" w:cs="Times New Roman"/>
          <w:i/>
          <w:color w:val="000000"/>
          <w:sz w:val="18"/>
          <w:szCs w:val="18"/>
        </w:rPr>
        <w:t>Caso Vásquez Durand y otros Vs. Ecuador</w:t>
      </w:r>
      <w:r w:rsidRPr="001B5126">
        <w:rPr>
          <w:rFonts w:ascii="Times New Roman" w:eastAsia="Times New Roman" w:hAnsi="Times New Roman" w:cs="Times New Roman"/>
          <w:color w:val="000000"/>
          <w:sz w:val="18"/>
          <w:szCs w:val="18"/>
        </w:rPr>
        <w:t xml:space="preserve">. Excepciones Preliminares, Fondo, Reparaciones y Costas. Sentencia de 15 de febrero de 2017. Serie C No. 332. Párr. 159. </w:t>
      </w:r>
    </w:p>
  </w:footnote>
  <w:footnote w:id="79">
    <w:p w14:paraId="41E0DB43" w14:textId="5E21D3C4"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Corte IDH. </w:t>
      </w:r>
      <w:r w:rsidRPr="001B5126">
        <w:rPr>
          <w:rFonts w:ascii="Times New Roman" w:eastAsia="Times New Roman" w:hAnsi="Times New Roman" w:cs="Times New Roman"/>
          <w:i/>
          <w:color w:val="000000"/>
          <w:sz w:val="18"/>
          <w:szCs w:val="18"/>
        </w:rPr>
        <w:t>Caso Genie Lacayo Vs. Nicaragua</w:t>
      </w:r>
      <w:r w:rsidRPr="001B5126">
        <w:rPr>
          <w:rFonts w:ascii="Times New Roman" w:eastAsia="Times New Roman" w:hAnsi="Times New Roman" w:cs="Times New Roman"/>
          <w:color w:val="000000"/>
          <w:sz w:val="18"/>
          <w:szCs w:val="18"/>
        </w:rPr>
        <w:t xml:space="preserve">. Fondo, Reparaciones y Costas. Sentencia de 1997. </w:t>
      </w:r>
      <w:r w:rsidRPr="00785F5F">
        <w:rPr>
          <w:rFonts w:ascii="Times New Roman" w:eastAsia="Times New Roman" w:hAnsi="Times New Roman" w:cs="Times New Roman"/>
          <w:color w:val="000000"/>
          <w:sz w:val="18"/>
          <w:szCs w:val="18"/>
        </w:rPr>
        <w:t>Serie C No. 30. Párr. 80.</w:t>
      </w:r>
    </w:p>
  </w:footnote>
  <w:footnote w:id="80">
    <w:p w14:paraId="41E5F558" w14:textId="54D4B6C3"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004161BA" w:rsidRPr="004161BA">
        <w:rPr>
          <w:rFonts w:ascii="Times New Roman" w:eastAsia="Times New Roman" w:hAnsi="Times New Roman" w:cs="Times New Roman"/>
          <w:sz w:val="18"/>
          <w:szCs w:val="18"/>
        </w:rPr>
        <w:t xml:space="preserve">Confidencial. </w:t>
      </w:r>
      <w:r w:rsidR="004161BA" w:rsidRPr="004161BA">
        <w:rPr>
          <w:rFonts w:ascii="Times New Roman" w:eastAsia="Times New Roman" w:hAnsi="Times New Roman" w:cs="Times New Roman"/>
          <w:i/>
          <w:iCs/>
          <w:sz w:val="18"/>
          <w:szCs w:val="18"/>
        </w:rPr>
        <w:t>Condenan a 12 por masacre del 19: Acusados denuncian torturas policiales para incriminarlos.</w:t>
      </w:r>
      <w:r w:rsidR="004161BA" w:rsidRPr="004161BA">
        <w:rPr>
          <w:rFonts w:ascii="Times New Roman" w:eastAsia="Times New Roman" w:hAnsi="Times New Roman" w:cs="Times New Roman"/>
          <w:sz w:val="18"/>
          <w:szCs w:val="18"/>
        </w:rPr>
        <w:t xml:space="preserve"> 13 de octubre de 2014. </w:t>
      </w:r>
      <w:r w:rsidR="004161BA" w:rsidRPr="001B5126">
        <w:rPr>
          <w:rFonts w:ascii="Times New Roman" w:eastAsia="Times New Roman" w:hAnsi="Times New Roman" w:cs="Times New Roman"/>
          <w:color w:val="000000"/>
          <w:sz w:val="18"/>
          <w:szCs w:val="18"/>
        </w:rPr>
        <w:t>Minutos 2’50-6’28.</w:t>
      </w:r>
      <w:r w:rsidR="004161BA" w:rsidRPr="004161BA">
        <w:rPr>
          <w:rFonts w:ascii="Times New Roman" w:hAnsi="Times New Roman" w:cs="Times New Roman"/>
          <w:sz w:val="18"/>
          <w:szCs w:val="18"/>
        </w:rPr>
        <w:t xml:space="preserve"> </w:t>
      </w:r>
      <w:hyperlink r:id="rId41" w:history="1">
        <w:r w:rsidR="004161BA" w:rsidRPr="004161BA">
          <w:rPr>
            <w:rStyle w:val="Hipervnculo"/>
            <w:rFonts w:ascii="Times New Roman" w:hAnsi="Times New Roman" w:cs="Times New Roman"/>
            <w:color w:val="auto"/>
            <w:sz w:val="18"/>
            <w:szCs w:val="18"/>
          </w:rPr>
          <w:t>https://www.youtube.com/watch?v=vFe3F7uwvE8</w:t>
        </w:r>
      </w:hyperlink>
      <w:r w:rsidR="004161BA" w:rsidRPr="004161BA">
        <w:rPr>
          <w:rFonts w:ascii="Times New Roman" w:hAnsi="Times New Roman" w:cs="Times New Roman"/>
          <w:sz w:val="18"/>
          <w:szCs w:val="18"/>
        </w:rPr>
        <w:t xml:space="preserve"> </w:t>
      </w:r>
    </w:p>
  </w:footnote>
  <w:footnote w:id="81">
    <w:p w14:paraId="2E020723"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Corte IDH. </w:t>
      </w:r>
      <w:r w:rsidRPr="001B5126">
        <w:rPr>
          <w:rFonts w:ascii="Times New Roman" w:eastAsia="Times New Roman" w:hAnsi="Times New Roman" w:cs="Times New Roman"/>
          <w:i/>
          <w:color w:val="000000"/>
          <w:sz w:val="18"/>
          <w:szCs w:val="18"/>
        </w:rPr>
        <w:t>Caso Zegarra Marín Vs. Perú</w:t>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Óp. Cit.</w:t>
      </w:r>
      <w:r w:rsidRPr="001B5126">
        <w:rPr>
          <w:rFonts w:ascii="Times New Roman" w:eastAsia="Times New Roman" w:hAnsi="Times New Roman" w:cs="Times New Roman"/>
          <w:color w:val="000000"/>
          <w:sz w:val="18"/>
          <w:szCs w:val="18"/>
        </w:rPr>
        <w:t xml:space="preserve"> Párr. 157.</w:t>
      </w:r>
    </w:p>
  </w:footnote>
  <w:footnote w:id="82">
    <w:p w14:paraId="1ED89F36"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w:t>
      </w:r>
      <w:r w:rsidRPr="001B5126">
        <w:rPr>
          <w:rFonts w:ascii="Times New Roman" w:eastAsia="Times New Roman" w:hAnsi="Times New Roman" w:cs="Times New Roman"/>
          <w:i/>
          <w:color w:val="000000"/>
          <w:sz w:val="18"/>
          <w:szCs w:val="18"/>
        </w:rPr>
        <w:t>Ibid.</w:t>
      </w:r>
      <w:r w:rsidRPr="001B5126">
        <w:rPr>
          <w:rFonts w:ascii="Times New Roman" w:eastAsia="Times New Roman" w:hAnsi="Times New Roman" w:cs="Times New Roman"/>
          <w:color w:val="000000"/>
          <w:sz w:val="18"/>
          <w:szCs w:val="18"/>
        </w:rPr>
        <w:t xml:space="preserve"> Párr. 154.</w:t>
      </w:r>
    </w:p>
  </w:footnote>
  <w:footnote w:id="83">
    <w:p w14:paraId="776097C1" w14:textId="77777777" w:rsidR="00D55D36" w:rsidRPr="004161BA"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ONU. </w:t>
      </w:r>
      <w:r w:rsidRPr="001B5126">
        <w:rPr>
          <w:rFonts w:ascii="Times New Roman" w:eastAsia="Times New Roman" w:hAnsi="Times New Roman" w:cs="Times New Roman"/>
          <w:i/>
          <w:color w:val="000000"/>
          <w:sz w:val="18"/>
          <w:szCs w:val="18"/>
        </w:rPr>
        <w:t>Convención de las Naciones Unidas contra la Delincuencia Organizada Transnacional</w:t>
      </w:r>
      <w:r w:rsidRPr="001B5126">
        <w:rPr>
          <w:rFonts w:ascii="Times New Roman" w:eastAsia="Times New Roman" w:hAnsi="Times New Roman" w:cs="Times New Roman"/>
          <w:color w:val="000000"/>
          <w:sz w:val="18"/>
          <w:szCs w:val="18"/>
        </w:rPr>
        <w:t xml:space="preserve">. 2000. Ratificada por Nicaragua </w:t>
      </w:r>
      <w:r w:rsidRPr="004161BA">
        <w:rPr>
          <w:rFonts w:ascii="Times New Roman" w:eastAsia="Times New Roman" w:hAnsi="Times New Roman" w:cs="Times New Roman"/>
          <w:color w:val="000000"/>
          <w:sz w:val="18"/>
          <w:szCs w:val="18"/>
        </w:rPr>
        <w:t>en 2002. Art. 2.a).</w:t>
      </w:r>
    </w:p>
  </w:footnote>
  <w:footnote w:id="84">
    <w:p w14:paraId="66EF31B0" w14:textId="1DE74FDD" w:rsidR="00D55D36" w:rsidRPr="0098713F" w:rsidRDefault="005B5684" w:rsidP="0098713F">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sz w:val="18"/>
          <w:szCs w:val="18"/>
        </w:rPr>
      </w:pPr>
      <w:r w:rsidRPr="004161BA">
        <w:rPr>
          <w:rFonts w:ascii="Times New Roman" w:hAnsi="Times New Roman" w:cs="Times New Roman"/>
          <w:sz w:val="18"/>
          <w:szCs w:val="18"/>
          <w:vertAlign w:val="superscript"/>
        </w:rPr>
        <w:footnoteRef/>
      </w:r>
      <w:r w:rsidRPr="004161BA">
        <w:rPr>
          <w:rFonts w:ascii="Times New Roman" w:eastAsia="Times New Roman" w:hAnsi="Times New Roman" w:cs="Times New Roman"/>
          <w:sz w:val="18"/>
          <w:szCs w:val="18"/>
        </w:rPr>
        <w:t xml:space="preserve"> </w:t>
      </w:r>
      <w:r w:rsidR="004161BA" w:rsidRPr="004161BA">
        <w:rPr>
          <w:rFonts w:ascii="Times New Roman" w:eastAsia="Times New Roman" w:hAnsi="Times New Roman" w:cs="Times New Roman"/>
          <w:sz w:val="18"/>
          <w:szCs w:val="18"/>
        </w:rPr>
        <w:t xml:space="preserve">Confidencial. </w:t>
      </w:r>
      <w:r w:rsidR="004161BA" w:rsidRPr="004161BA">
        <w:rPr>
          <w:rFonts w:ascii="Times New Roman" w:eastAsia="Times New Roman" w:hAnsi="Times New Roman" w:cs="Times New Roman"/>
          <w:i/>
          <w:iCs/>
          <w:sz w:val="18"/>
          <w:szCs w:val="18"/>
        </w:rPr>
        <w:t>Condenan a 12 por masacre del 19: Acusados denuncian torturas policiales</w:t>
      </w:r>
      <w:r w:rsidR="004161BA" w:rsidRPr="004161BA">
        <w:rPr>
          <w:rFonts w:ascii="Times New Roman" w:eastAsia="Times New Roman" w:hAnsi="Times New Roman" w:cs="Times New Roman"/>
          <w:i/>
          <w:iCs/>
          <w:sz w:val="18"/>
          <w:szCs w:val="18"/>
        </w:rPr>
        <w:t xml:space="preserve"> </w:t>
      </w:r>
      <w:r w:rsidR="004161BA" w:rsidRPr="004161BA">
        <w:rPr>
          <w:rFonts w:ascii="Times New Roman" w:eastAsia="Times New Roman" w:hAnsi="Times New Roman" w:cs="Times New Roman"/>
          <w:i/>
          <w:iCs/>
          <w:sz w:val="18"/>
          <w:szCs w:val="18"/>
        </w:rPr>
        <w:t>para incriminarlos.</w:t>
      </w:r>
      <w:r w:rsidR="004161BA" w:rsidRPr="004161BA">
        <w:rPr>
          <w:rFonts w:ascii="Times New Roman" w:eastAsia="Times New Roman" w:hAnsi="Times New Roman" w:cs="Times New Roman"/>
          <w:sz w:val="18"/>
          <w:szCs w:val="18"/>
        </w:rPr>
        <w:t xml:space="preserve"> 13 de octubre de 2014.</w:t>
      </w:r>
      <w:r w:rsidR="004161BA" w:rsidRPr="004161BA">
        <w:rPr>
          <w:rFonts w:ascii="Times New Roman" w:eastAsia="Times New Roman" w:hAnsi="Times New Roman" w:cs="Times New Roman"/>
          <w:sz w:val="18"/>
          <w:szCs w:val="18"/>
        </w:rPr>
        <w:t xml:space="preserve"> </w:t>
      </w:r>
      <w:r w:rsidRPr="004161BA">
        <w:rPr>
          <w:rFonts w:ascii="Times New Roman" w:eastAsia="Times New Roman" w:hAnsi="Times New Roman" w:cs="Times New Roman"/>
          <w:sz w:val="18"/>
          <w:szCs w:val="18"/>
        </w:rPr>
        <w:t>Minutos 1’52-2’47.</w:t>
      </w:r>
      <w:r w:rsidR="004161BA" w:rsidRPr="004161BA">
        <w:rPr>
          <w:rFonts w:ascii="Times New Roman" w:hAnsi="Times New Roman" w:cs="Times New Roman"/>
          <w:sz w:val="18"/>
          <w:szCs w:val="18"/>
        </w:rPr>
        <w:t xml:space="preserve"> </w:t>
      </w:r>
      <w:hyperlink r:id="rId42" w:history="1">
        <w:r w:rsidR="004161BA" w:rsidRPr="004161BA">
          <w:rPr>
            <w:rStyle w:val="Hipervnculo"/>
            <w:rFonts w:ascii="Times New Roman" w:hAnsi="Times New Roman" w:cs="Times New Roman"/>
            <w:color w:val="auto"/>
            <w:sz w:val="18"/>
            <w:szCs w:val="18"/>
          </w:rPr>
          <w:t>https://www.youtube.com/watch?v=vFe3F7uwvE8</w:t>
        </w:r>
      </w:hyperlink>
      <w:r w:rsidR="004161BA" w:rsidRPr="004161BA">
        <w:rPr>
          <w:rFonts w:ascii="Times New Roman" w:hAnsi="Times New Roman" w:cs="Times New Roman"/>
          <w:sz w:val="18"/>
          <w:szCs w:val="18"/>
        </w:rPr>
        <w:t xml:space="preserve"> </w:t>
      </w:r>
    </w:p>
  </w:footnote>
  <w:footnote w:id="85">
    <w:p w14:paraId="01520C1A" w14:textId="77777777" w:rsidR="00D55D36" w:rsidRPr="001B5126" w:rsidRDefault="005B5684" w:rsidP="001B5126">
      <w:pPr>
        <w:pBdr>
          <w:top w:val="nil"/>
          <w:left w:val="nil"/>
          <w:bottom w:val="nil"/>
          <w:right w:val="nil"/>
          <w:between w:val="nil"/>
        </w:pBdr>
        <w:spacing w:after="0" w:line="240" w:lineRule="auto"/>
        <w:ind w:left="10" w:right="68" w:hanging="10"/>
        <w:jc w:val="both"/>
        <w:rPr>
          <w:rFonts w:ascii="Times New Roman" w:eastAsia="Times New Roman" w:hAnsi="Times New Roman" w:cs="Times New Roman"/>
          <w:color w:val="000000"/>
          <w:sz w:val="18"/>
          <w:szCs w:val="18"/>
        </w:rPr>
      </w:pPr>
      <w:r w:rsidRPr="001B5126">
        <w:rPr>
          <w:rFonts w:ascii="Times New Roman" w:hAnsi="Times New Roman" w:cs="Times New Roman"/>
          <w:sz w:val="18"/>
          <w:szCs w:val="18"/>
          <w:vertAlign w:val="superscript"/>
        </w:rPr>
        <w:footnoteRef/>
      </w:r>
      <w:r w:rsidRPr="001B5126">
        <w:rPr>
          <w:rFonts w:ascii="Times New Roman" w:eastAsia="Times New Roman" w:hAnsi="Times New Roman" w:cs="Times New Roman"/>
          <w:color w:val="000000"/>
          <w:sz w:val="18"/>
          <w:szCs w:val="18"/>
        </w:rPr>
        <w:t xml:space="preserve">  GHREN. </w:t>
      </w:r>
      <w:r w:rsidRPr="001B5126">
        <w:rPr>
          <w:rFonts w:ascii="Times New Roman" w:eastAsia="Times New Roman" w:hAnsi="Times New Roman" w:cs="Times New Roman"/>
          <w:i/>
          <w:color w:val="000000"/>
          <w:sz w:val="18"/>
          <w:szCs w:val="18"/>
        </w:rPr>
        <w:t>Conclusiones detalladas del Grupo de Expertos en Derechos Humanos sobre Nicaragua</w:t>
      </w:r>
      <w:r w:rsidRPr="001B5126">
        <w:rPr>
          <w:rFonts w:ascii="Times New Roman" w:eastAsia="Times New Roman" w:hAnsi="Times New Roman" w:cs="Times New Roman"/>
          <w:color w:val="000000"/>
          <w:sz w:val="18"/>
          <w:szCs w:val="18"/>
        </w:rPr>
        <w:t>.</w:t>
      </w:r>
      <w:r w:rsidRPr="001B5126">
        <w:rPr>
          <w:rFonts w:ascii="Times New Roman" w:eastAsia="Times New Roman" w:hAnsi="Times New Roman" w:cs="Times New Roman"/>
          <w:i/>
          <w:color w:val="000000"/>
          <w:sz w:val="18"/>
          <w:szCs w:val="18"/>
        </w:rPr>
        <w:t xml:space="preserve"> </w:t>
      </w:r>
      <w:proofErr w:type="spellStart"/>
      <w:r w:rsidRPr="001B5126">
        <w:rPr>
          <w:rFonts w:ascii="Times New Roman" w:eastAsia="Times New Roman" w:hAnsi="Times New Roman" w:cs="Times New Roman"/>
          <w:i/>
          <w:color w:val="000000"/>
          <w:sz w:val="18"/>
          <w:szCs w:val="18"/>
        </w:rPr>
        <w:t>Op</w:t>
      </w:r>
      <w:proofErr w:type="spellEnd"/>
      <w:r w:rsidRPr="001B5126">
        <w:rPr>
          <w:rFonts w:ascii="Times New Roman" w:eastAsia="Times New Roman" w:hAnsi="Times New Roman" w:cs="Times New Roman"/>
          <w:i/>
          <w:color w:val="000000"/>
          <w:sz w:val="18"/>
          <w:szCs w:val="18"/>
        </w:rPr>
        <w:t>. Cit.</w:t>
      </w:r>
      <w:r w:rsidRPr="001B5126">
        <w:rPr>
          <w:rFonts w:ascii="Times New Roman" w:eastAsia="Times New Roman" w:hAnsi="Times New Roman" w:cs="Times New Roman"/>
          <w:color w:val="000000"/>
          <w:sz w:val="18"/>
          <w:szCs w:val="18"/>
        </w:rPr>
        <w:t>  Párr. 951.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747B" w14:textId="77777777" w:rsidR="00D55D36" w:rsidRDefault="00D55D36">
    <w:pPr>
      <w:pBdr>
        <w:top w:val="nil"/>
        <w:left w:val="nil"/>
        <w:bottom w:val="nil"/>
        <w:right w:val="nil"/>
        <w:between w:val="nil"/>
      </w:pBdr>
      <w:tabs>
        <w:tab w:val="center" w:pos="4680"/>
        <w:tab w:val="right" w:pos="9360"/>
      </w:tabs>
      <w:spacing w:after="0" w:line="240" w:lineRule="auto"/>
      <w:rPr>
        <w:color w:val="000000"/>
      </w:rPr>
    </w:pPr>
  </w:p>
  <w:p w14:paraId="49F565DB" w14:textId="77777777" w:rsidR="00D55D36" w:rsidRDefault="00D55D3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77777"/>
    <w:multiLevelType w:val="hybridMultilevel"/>
    <w:tmpl w:val="5914B27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354246"/>
    <w:multiLevelType w:val="hybridMultilevel"/>
    <w:tmpl w:val="4CC81DD0"/>
    <w:lvl w:ilvl="0" w:tplc="5444116A">
      <w:start w:val="1"/>
      <w:numFmt w:val="upperLetter"/>
      <w:lvlText w:val="%1."/>
      <w:lvlJc w:val="left"/>
      <w:pPr>
        <w:ind w:left="720" w:hanging="360"/>
      </w:pPr>
      <w:rPr>
        <w:rFonts w:eastAsiaTheme="majorEastAsia" w:cstheme="majorBidi"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15:restartNumberingAfterBreak="0">
    <w:nsid w:val="221B1058"/>
    <w:multiLevelType w:val="multilevel"/>
    <w:tmpl w:val="52645316"/>
    <w:lvl w:ilvl="0">
      <w:start w:val="1"/>
      <w:numFmt w:val="upperLetter"/>
      <w:lvlText w:val="%1."/>
      <w:lvlJc w:val="left"/>
      <w:pPr>
        <w:ind w:left="990" w:hanging="360"/>
      </w:pPr>
      <w:rPr>
        <w:b/>
        <w:color w:val="000000"/>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22B11CAF"/>
    <w:multiLevelType w:val="hybridMultilevel"/>
    <w:tmpl w:val="02083E02"/>
    <w:lvl w:ilvl="0" w:tplc="07CA1D30">
      <w:start w:val="1"/>
      <w:numFmt w:val="upperLetter"/>
      <w:lvlText w:val="%1."/>
      <w:lvlJc w:val="left"/>
      <w:pPr>
        <w:ind w:left="720" w:hanging="360"/>
      </w:pPr>
      <w:rPr>
        <w:rFonts w:eastAsiaTheme="majorEastAsia" w:cstheme="majorBidi"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2EB05FA6"/>
    <w:multiLevelType w:val="multilevel"/>
    <w:tmpl w:val="723CD3FA"/>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5" w15:restartNumberingAfterBreak="0">
    <w:nsid w:val="2F5C0AA5"/>
    <w:multiLevelType w:val="hybridMultilevel"/>
    <w:tmpl w:val="A39E4F88"/>
    <w:lvl w:ilvl="0" w:tplc="A9EC772E">
      <w:start w:val="2"/>
      <w:numFmt w:val="lowerLetter"/>
      <w:lvlText w:val="%1."/>
      <w:lvlJc w:val="left"/>
      <w:pPr>
        <w:ind w:left="720" w:hanging="360"/>
      </w:pPr>
      <w:rPr>
        <w:rFonts w:eastAsia="Calibri" w:cs="Calibri"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371C6AFC"/>
    <w:multiLevelType w:val="hybridMultilevel"/>
    <w:tmpl w:val="61FEB15A"/>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46184448"/>
    <w:multiLevelType w:val="hybridMultilevel"/>
    <w:tmpl w:val="77625D58"/>
    <w:lvl w:ilvl="0" w:tplc="76786C36">
      <w:start w:val="1"/>
      <w:numFmt w:val="upperLetter"/>
      <w:lvlText w:val="%1."/>
      <w:lvlJc w:val="left"/>
      <w:pPr>
        <w:ind w:left="360" w:hanging="360"/>
      </w:pPr>
      <w:rPr>
        <w:rFonts w:hint="default"/>
        <w:b/>
        <w:bCs/>
        <w:color w:val="auto"/>
      </w:r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4E8622D5"/>
    <w:multiLevelType w:val="multilevel"/>
    <w:tmpl w:val="04D0F5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4847F1"/>
    <w:multiLevelType w:val="hybridMultilevel"/>
    <w:tmpl w:val="A3AA5C52"/>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55C51F84"/>
    <w:multiLevelType w:val="multilevel"/>
    <w:tmpl w:val="94CCD5A4"/>
    <w:lvl w:ilvl="0">
      <w:start w:val="1"/>
      <w:numFmt w:val="lowerLetter"/>
      <w:lvlText w:val="%1."/>
      <w:lvlJc w:val="left"/>
      <w:pPr>
        <w:ind w:left="540" w:hanging="360"/>
      </w:pPr>
      <w:rPr>
        <w:i/>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E4F5021"/>
    <w:multiLevelType w:val="hybridMultilevel"/>
    <w:tmpl w:val="84ECC586"/>
    <w:lvl w:ilvl="0" w:tplc="52E0AC4E">
      <w:start w:val="1"/>
      <w:numFmt w:val="upperRoman"/>
      <w:lvlText w:val="%1."/>
      <w:lvlJc w:val="left"/>
      <w:pPr>
        <w:ind w:left="720" w:hanging="720"/>
      </w:pPr>
      <w:rPr>
        <w:rFonts w:hint="default"/>
        <w:b/>
        <w:bCs/>
        <w:color w:val="auto"/>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2" w15:restartNumberingAfterBreak="0">
    <w:nsid w:val="6E807734"/>
    <w:multiLevelType w:val="multilevel"/>
    <w:tmpl w:val="A7808830"/>
    <w:lvl w:ilvl="0">
      <w:start w:val="1"/>
      <w:numFmt w:val="upperRoman"/>
      <w:lvlText w:val="%1."/>
      <w:lvlJc w:val="left"/>
      <w:pPr>
        <w:ind w:left="720" w:hanging="720"/>
      </w:pPr>
      <w:rPr>
        <w:b/>
        <w:color w:val="000000"/>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6031E4E"/>
    <w:multiLevelType w:val="hybridMultilevel"/>
    <w:tmpl w:val="AA2268B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847017709">
    <w:abstractNumId w:val="12"/>
  </w:num>
  <w:num w:numId="2" w16cid:durableId="1984773888">
    <w:abstractNumId w:val="8"/>
  </w:num>
  <w:num w:numId="3" w16cid:durableId="116486435">
    <w:abstractNumId w:val="10"/>
  </w:num>
  <w:num w:numId="4" w16cid:durableId="2015835360">
    <w:abstractNumId w:val="4"/>
  </w:num>
  <w:num w:numId="5" w16cid:durableId="907038832">
    <w:abstractNumId w:val="2"/>
  </w:num>
  <w:num w:numId="6" w16cid:durableId="431361392">
    <w:abstractNumId w:val="9"/>
  </w:num>
  <w:num w:numId="7" w16cid:durableId="1672489820">
    <w:abstractNumId w:val="0"/>
  </w:num>
  <w:num w:numId="8" w16cid:durableId="688144902">
    <w:abstractNumId w:val="1"/>
  </w:num>
  <w:num w:numId="9" w16cid:durableId="826676945">
    <w:abstractNumId w:val="3"/>
  </w:num>
  <w:num w:numId="10" w16cid:durableId="1901404580">
    <w:abstractNumId w:val="5"/>
  </w:num>
  <w:num w:numId="11" w16cid:durableId="2116317648">
    <w:abstractNumId w:val="7"/>
  </w:num>
  <w:num w:numId="12" w16cid:durableId="1982810001">
    <w:abstractNumId w:val="11"/>
  </w:num>
  <w:num w:numId="13" w16cid:durableId="1413157331">
    <w:abstractNumId w:val="13"/>
  </w:num>
  <w:num w:numId="14" w16cid:durableId="1508596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D36"/>
    <w:rsid w:val="00002C4A"/>
    <w:rsid w:val="000251C6"/>
    <w:rsid w:val="00030DE2"/>
    <w:rsid w:val="000404B5"/>
    <w:rsid w:val="000474A8"/>
    <w:rsid w:val="0006173E"/>
    <w:rsid w:val="00076BB4"/>
    <w:rsid w:val="000A24FF"/>
    <w:rsid w:val="000A7797"/>
    <w:rsid w:val="000C4555"/>
    <w:rsid w:val="000D297F"/>
    <w:rsid w:val="000D4142"/>
    <w:rsid w:val="000E39A0"/>
    <w:rsid w:val="000F195F"/>
    <w:rsid w:val="00103ADD"/>
    <w:rsid w:val="00112535"/>
    <w:rsid w:val="001414A7"/>
    <w:rsid w:val="00145ECF"/>
    <w:rsid w:val="00171C3E"/>
    <w:rsid w:val="001810F1"/>
    <w:rsid w:val="00183210"/>
    <w:rsid w:val="001B5126"/>
    <w:rsid w:val="001D0D3B"/>
    <w:rsid w:val="001F0BEC"/>
    <w:rsid w:val="00230A85"/>
    <w:rsid w:val="0023669F"/>
    <w:rsid w:val="00257BB6"/>
    <w:rsid w:val="0026187E"/>
    <w:rsid w:val="0026306B"/>
    <w:rsid w:val="00274814"/>
    <w:rsid w:val="0029194F"/>
    <w:rsid w:val="00295389"/>
    <w:rsid w:val="0029774E"/>
    <w:rsid w:val="002A0A0C"/>
    <w:rsid w:val="002C4FAE"/>
    <w:rsid w:val="002E3B03"/>
    <w:rsid w:val="002F2931"/>
    <w:rsid w:val="002F63DD"/>
    <w:rsid w:val="00300F24"/>
    <w:rsid w:val="0031246E"/>
    <w:rsid w:val="00341DE8"/>
    <w:rsid w:val="00365C9B"/>
    <w:rsid w:val="00372ED6"/>
    <w:rsid w:val="00375A8A"/>
    <w:rsid w:val="00385791"/>
    <w:rsid w:val="003A4ECD"/>
    <w:rsid w:val="003A54C0"/>
    <w:rsid w:val="003A7E31"/>
    <w:rsid w:val="003C19B0"/>
    <w:rsid w:val="003C38E0"/>
    <w:rsid w:val="003D0BDA"/>
    <w:rsid w:val="003E1902"/>
    <w:rsid w:val="003E4903"/>
    <w:rsid w:val="003E4F09"/>
    <w:rsid w:val="003F1D08"/>
    <w:rsid w:val="003F7F14"/>
    <w:rsid w:val="004161BA"/>
    <w:rsid w:val="00424001"/>
    <w:rsid w:val="00435BBC"/>
    <w:rsid w:val="00440F28"/>
    <w:rsid w:val="00445F71"/>
    <w:rsid w:val="00461A4A"/>
    <w:rsid w:val="00466D89"/>
    <w:rsid w:val="00476631"/>
    <w:rsid w:val="0047707F"/>
    <w:rsid w:val="004A3166"/>
    <w:rsid w:val="004F36BA"/>
    <w:rsid w:val="005026D4"/>
    <w:rsid w:val="0051736A"/>
    <w:rsid w:val="0052254E"/>
    <w:rsid w:val="00537C2B"/>
    <w:rsid w:val="00550FCF"/>
    <w:rsid w:val="00564431"/>
    <w:rsid w:val="0058687D"/>
    <w:rsid w:val="005B5684"/>
    <w:rsid w:val="005B664E"/>
    <w:rsid w:val="005F54B1"/>
    <w:rsid w:val="006052E0"/>
    <w:rsid w:val="00620343"/>
    <w:rsid w:val="00633C3F"/>
    <w:rsid w:val="006374BD"/>
    <w:rsid w:val="00673177"/>
    <w:rsid w:val="006878EE"/>
    <w:rsid w:val="006967FC"/>
    <w:rsid w:val="006A36DC"/>
    <w:rsid w:val="006A575B"/>
    <w:rsid w:val="006A6CB2"/>
    <w:rsid w:val="006B2137"/>
    <w:rsid w:val="006B42C0"/>
    <w:rsid w:val="006D6C10"/>
    <w:rsid w:val="006F1047"/>
    <w:rsid w:val="00702DB7"/>
    <w:rsid w:val="007058D3"/>
    <w:rsid w:val="007109A2"/>
    <w:rsid w:val="0071274A"/>
    <w:rsid w:val="007212CB"/>
    <w:rsid w:val="00740A90"/>
    <w:rsid w:val="00746AD1"/>
    <w:rsid w:val="00757F55"/>
    <w:rsid w:val="00777570"/>
    <w:rsid w:val="00785A61"/>
    <w:rsid w:val="00785F5F"/>
    <w:rsid w:val="007903F3"/>
    <w:rsid w:val="007963B2"/>
    <w:rsid w:val="007B7A01"/>
    <w:rsid w:val="007C282E"/>
    <w:rsid w:val="0081125A"/>
    <w:rsid w:val="008117E7"/>
    <w:rsid w:val="00822871"/>
    <w:rsid w:val="00832065"/>
    <w:rsid w:val="008538B5"/>
    <w:rsid w:val="00860D87"/>
    <w:rsid w:val="008815CF"/>
    <w:rsid w:val="0089610F"/>
    <w:rsid w:val="008B314B"/>
    <w:rsid w:val="008C3E3A"/>
    <w:rsid w:val="008D2889"/>
    <w:rsid w:val="00905380"/>
    <w:rsid w:val="009078B1"/>
    <w:rsid w:val="0092275F"/>
    <w:rsid w:val="0094575A"/>
    <w:rsid w:val="009548D6"/>
    <w:rsid w:val="0098713F"/>
    <w:rsid w:val="00993068"/>
    <w:rsid w:val="009C6281"/>
    <w:rsid w:val="00A425C1"/>
    <w:rsid w:val="00A727CB"/>
    <w:rsid w:val="00A75168"/>
    <w:rsid w:val="00A75D74"/>
    <w:rsid w:val="00AC4F61"/>
    <w:rsid w:val="00AC5F79"/>
    <w:rsid w:val="00AD4CA6"/>
    <w:rsid w:val="00AF176A"/>
    <w:rsid w:val="00B13184"/>
    <w:rsid w:val="00B3187B"/>
    <w:rsid w:val="00B511F3"/>
    <w:rsid w:val="00B51B5E"/>
    <w:rsid w:val="00B82615"/>
    <w:rsid w:val="00BB347A"/>
    <w:rsid w:val="00BD61CA"/>
    <w:rsid w:val="00BE14AA"/>
    <w:rsid w:val="00BE2781"/>
    <w:rsid w:val="00BE7C80"/>
    <w:rsid w:val="00C067E2"/>
    <w:rsid w:val="00C22B40"/>
    <w:rsid w:val="00C325AC"/>
    <w:rsid w:val="00C33029"/>
    <w:rsid w:val="00C36342"/>
    <w:rsid w:val="00C62956"/>
    <w:rsid w:val="00CC157F"/>
    <w:rsid w:val="00CC34C7"/>
    <w:rsid w:val="00CC4619"/>
    <w:rsid w:val="00CF37C9"/>
    <w:rsid w:val="00D0442C"/>
    <w:rsid w:val="00D068C6"/>
    <w:rsid w:val="00D15C35"/>
    <w:rsid w:val="00D2006C"/>
    <w:rsid w:val="00D2343E"/>
    <w:rsid w:val="00D55D36"/>
    <w:rsid w:val="00D6384B"/>
    <w:rsid w:val="00D63FF7"/>
    <w:rsid w:val="00DB023B"/>
    <w:rsid w:val="00DF0B75"/>
    <w:rsid w:val="00E03434"/>
    <w:rsid w:val="00E04054"/>
    <w:rsid w:val="00E31649"/>
    <w:rsid w:val="00E43ACE"/>
    <w:rsid w:val="00E44985"/>
    <w:rsid w:val="00EC04C8"/>
    <w:rsid w:val="00EC7529"/>
    <w:rsid w:val="00EE5281"/>
    <w:rsid w:val="00F16068"/>
    <w:rsid w:val="00F17257"/>
    <w:rsid w:val="00F220B5"/>
    <w:rsid w:val="00F3789C"/>
    <w:rsid w:val="00F419C7"/>
    <w:rsid w:val="00F50CC7"/>
    <w:rsid w:val="00F97917"/>
    <w:rsid w:val="00FA5D69"/>
    <w:rsid w:val="00FB0773"/>
    <w:rsid w:val="00FB5E26"/>
    <w:rsid w:val="00FD5EC9"/>
    <w:rsid w:val="00FF5C52"/>
  </w:rsids>
  <m:mathPr>
    <m:mathFont m:val="Cambria Math"/>
    <m:brkBin m:val="before"/>
    <m:brkBinSub m:val="--"/>
    <m:smallFrac m:val="0"/>
    <m:dispDef/>
    <m:lMargin m:val="0"/>
    <m:rMargin m:val="0"/>
    <m:defJc m:val="centerGroup"/>
    <m:wrapIndent m:val="1440"/>
    <m:intLim m:val="subSup"/>
    <m:naryLim m:val="undOvr"/>
  </m:mathPr>
  <w:themeFontLang w:val="es-N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21F59"/>
  <w15:docId w15:val="{33437D6C-F594-4E8E-A2ED-8426EF42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NI" w:eastAsia="es-N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107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7107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71079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1079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1079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1079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1079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1079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1079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1079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71079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1079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71079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1079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1079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1079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1079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1079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10796"/>
    <w:rPr>
      <w:rFonts w:eastAsiaTheme="majorEastAsia" w:cstheme="majorBidi"/>
      <w:color w:val="272727" w:themeColor="text1" w:themeTint="D8"/>
    </w:rPr>
  </w:style>
  <w:style w:type="character" w:customStyle="1" w:styleId="TtuloCar">
    <w:name w:val="Título Car"/>
    <w:basedOn w:val="Fuentedeprrafopredeter"/>
    <w:link w:val="Ttulo"/>
    <w:uiPriority w:val="10"/>
    <w:rsid w:val="0071079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71079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10796"/>
    <w:pPr>
      <w:spacing w:before="160"/>
      <w:jc w:val="center"/>
    </w:pPr>
    <w:rPr>
      <w:i/>
      <w:iCs/>
      <w:color w:val="404040" w:themeColor="text1" w:themeTint="BF"/>
    </w:rPr>
  </w:style>
  <w:style w:type="character" w:customStyle="1" w:styleId="CitaCar">
    <w:name w:val="Cita Car"/>
    <w:basedOn w:val="Fuentedeprrafopredeter"/>
    <w:link w:val="Cita"/>
    <w:uiPriority w:val="29"/>
    <w:rsid w:val="00710796"/>
    <w:rPr>
      <w:i/>
      <w:iCs/>
      <w:color w:val="404040" w:themeColor="text1" w:themeTint="BF"/>
    </w:rPr>
  </w:style>
  <w:style w:type="paragraph" w:styleId="Prrafodelista">
    <w:name w:val="List Paragraph"/>
    <w:basedOn w:val="Normal"/>
    <w:uiPriority w:val="34"/>
    <w:qFormat/>
    <w:rsid w:val="00710796"/>
    <w:pPr>
      <w:ind w:left="720"/>
      <w:contextualSpacing/>
    </w:pPr>
  </w:style>
  <w:style w:type="character" w:styleId="nfasisintenso">
    <w:name w:val="Intense Emphasis"/>
    <w:basedOn w:val="Fuentedeprrafopredeter"/>
    <w:uiPriority w:val="21"/>
    <w:qFormat/>
    <w:rsid w:val="00710796"/>
    <w:rPr>
      <w:i/>
      <w:iCs/>
      <w:color w:val="2F5496" w:themeColor="accent1" w:themeShade="BF"/>
    </w:rPr>
  </w:style>
  <w:style w:type="paragraph" w:styleId="Citadestacada">
    <w:name w:val="Intense Quote"/>
    <w:basedOn w:val="Normal"/>
    <w:next w:val="Normal"/>
    <w:link w:val="CitadestacadaCar"/>
    <w:uiPriority w:val="30"/>
    <w:qFormat/>
    <w:rsid w:val="007107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10796"/>
    <w:rPr>
      <w:i/>
      <w:iCs/>
      <w:color w:val="2F5496" w:themeColor="accent1" w:themeShade="BF"/>
    </w:rPr>
  </w:style>
  <w:style w:type="character" w:styleId="Referenciaintensa">
    <w:name w:val="Intense Reference"/>
    <w:basedOn w:val="Fuentedeprrafopredeter"/>
    <w:uiPriority w:val="32"/>
    <w:qFormat/>
    <w:rsid w:val="00710796"/>
    <w:rPr>
      <w:b/>
      <w:bCs/>
      <w:smallCaps/>
      <w:color w:val="2F5496" w:themeColor="accent1" w:themeShade="BF"/>
      <w:spacing w:val="5"/>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no,C"/>
    <w:basedOn w:val="Normal"/>
    <w:link w:val="TextonotapieCar"/>
    <w:uiPriority w:val="99"/>
    <w:unhideWhenUsed/>
    <w:qFormat/>
    <w:rsid w:val="00710796"/>
    <w:pPr>
      <w:spacing w:after="0" w:line="240" w:lineRule="auto"/>
      <w:ind w:left="10" w:right="68" w:hanging="10"/>
      <w:jc w:val="both"/>
    </w:pPr>
    <w:rPr>
      <w:rFonts w:ascii="Arial" w:eastAsia="Arial" w:hAnsi="Arial" w:cs="Arial"/>
      <w:color w:val="000000"/>
      <w:sz w:val="20"/>
      <w:szCs w:val="20"/>
      <w:lang w:val="es-GT" w:eastAsia="es-GT"/>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710796"/>
    <w:rPr>
      <w:rFonts w:ascii="Arial" w:eastAsia="Arial" w:hAnsi="Arial" w:cs="Arial"/>
      <w:color w:val="000000"/>
      <w:kern w:val="0"/>
      <w:sz w:val="20"/>
      <w:szCs w:val="20"/>
      <w:lang w:val="es-GT" w:eastAsia="es-GT"/>
    </w:rPr>
  </w:style>
  <w:style w:type="character" w:styleId="Refdenotaalpie">
    <w:name w:val="footnote reference"/>
    <w:aliases w:val="Texto de nota al pie,Footnotes refss,Appel note de bas de page,Footnote number,referencia nota al pie,BVI fnr,f,Appel note de bas de...,Ref. de nota al pie.,Footnote symbol,Footnote,4_G,16 Point,Superscript 6 Point,R,Texto nota al pi"/>
    <w:basedOn w:val="Fuentedeprrafopredeter"/>
    <w:link w:val="Refdenotaalpie1"/>
    <w:uiPriority w:val="99"/>
    <w:unhideWhenUsed/>
    <w:qFormat/>
    <w:rsid w:val="00710796"/>
    <w:rPr>
      <w:vertAlign w:val="superscript"/>
    </w:rPr>
  </w:style>
  <w:style w:type="paragraph" w:customStyle="1" w:styleId="Refdenotaalpie1">
    <w:name w:val="Ref. de nota al pie1"/>
    <w:aliases w:val="BVI fnr Car Car Car Car, BVI fnr Car Car Car Car,BVI fnr Car Car Car Car Char"/>
    <w:basedOn w:val="Normal"/>
    <w:link w:val="Refdenotaalpie"/>
    <w:uiPriority w:val="99"/>
    <w:qFormat/>
    <w:rsid w:val="00710796"/>
    <w:pPr>
      <w:spacing w:beforeLines="1" w:after="0" w:line="240" w:lineRule="exact"/>
      <w:jc w:val="both"/>
    </w:pPr>
    <w:rPr>
      <w:vertAlign w:val="superscript"/>
    </w:rPr>
  </w:style>
  <w:style w:type="character" w:styleId="Hipervnculo">
    <w:name w:val="Hyperlink"/>
    <w:basedOn w:val="Fuentedeprrafopredeter"/>
    <w:uiPriority w:val="99"/>
    <w:unhideWhenUsed/>
    <w:rsid w:val="00886513"/>
    <w:rPr>
      <w:color w:val="0563C1" w:themeColor="hyperlink"/>
      <w:u w:val="single"/>
    </w:rPr>
  </w:style>
  <w:style w:type="character" w:styleId="Mencinsinresolver">
    <w:name w:val="Unresolved Mention"/>
    <w:basedOn w:val="Fuentedeprrafopredeter"/>
    <w:uiPriority w:val="99"/>
    <w:semiHidden/>
    <w:unhideWhenUsed/>
    <w:rsid w:val="00886513"/>
    <w:rPr>
      <w:color w:val="605E5C"/>
      <w:shd w:val="clear" w:color="auto" w:fill="E1DFDD"/>
    </w:rPr>
  </w:style>
  <w:style w:type="character" w:styleId="Hipervnculovisitado">
    <w:name w:val="FollowedHyperlink"/>
    <w:basedOn w:val="Fuentedeprrafopredeter"/>
    <w:uiPriority w:val="99"/>
    <w:semiHidden/>
    <w:unhideWhenUsed/>
    <w:rsid w:val="00095D7B"/>
    <w:rPr>
      <w:color w:val="954F72" w:themeColor="followedHyperlink"/>
      <w:u w:val="single"/>
    </w:rPr>
  </w:style>
  <w:style w:type="paragraph" w:styleId="NormalWeb">
    <w:name w:val="Normal (Web)"/>
    <w:basedOn w:val="Normal"/>
    <w:uiPriority w:val="99"/>
    <w:unhideWhenUsed/>
    <w:rsid w:val="00CF0659"/>
    <w:rPr>
      <w:rFonts w:ascii="Times New Roman" w:hAnsi="Times New Roman" w:cs="Times New Roman"/>
      <w:sz w:val="24"/>
      <w:szCs w:val="24"/>
    </w:rPr>
  </w:style>
  <w:style w:type="table" w:styleId="Tablaconcuadrcula">
    <w:name w:val="Table Grid"/>
    <w:basedOn w:val="Tablanormal"/>
    <w:uiPriority w:val="39"/>
    <w:rsid w:val="00785AA8"/>
    <w:pPr>
      <w:spacing w:after="0" w:line="240" w:lineRule="auto"/>
      <w:ind w:left="10" w:right="68"/>
      <w:jc w:val="both"/>
    </w:pPr>
    <w:rPr>
      <w:rFonts w:ascii="Arial" w:eastAsia="Arial" w:hAnsi="Arial" w:cs="Arial"/>
      <w:sz w:val="24"/>
      <w:szCs w:val="24"/>
      <w:lang w:val="es-GT"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5"/>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B46A4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46A41"/>
  </w:style>
  <w:style w:type="paragraph" w:styleId="Piedepgina">
    <w:name w:val="footer"/>
    <w:basedOn w:val="Normal"/>
    <w:link w:val="PiedepginaCar"/>
    <w:uiPriority w:val="99"/>
    <w:unhideWhenUsed/>
    <w:rsid w:val="00B46A4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46A41"/>
  </w:style>
  <w:style w:type="table" w:customStyle="1" w:styleId="a0">
    <w:basedOn w:val="TableNormal5"/>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table" w:customStyle="1" w:styleId="a1">
    <w:basedOn w:val="TableNormal4"/>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2">
    <w:basedOn w:val="TableNormal3"/>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table" w:customStyle="1" w:styleId="a3">
    <w:basedOn w:val="TableNormal2"/>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character" w:customStyle="1" w:styleId="apple-tab-span">
    <w:name w:val="apple-tab-span"/>
    <w:basedOn w:val="Fuentedeprrafopredeter"/>
    <w:rsid w:val="0034742E"/>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pPr>
      <w:spacing w:after="0" w:line="240" w:lineRule="auto"/>
      <w:ind w:left="10" w:right="68"/>
      <w:jc w:val="both"/>
    </w:pPr>
    <w:rPr>
      <w:rFonts w:ascii="Arial" w:eastAsia="Arial" w:hAnsi="Arial" w:cs="Arial"/>
      <w:sz w:val="24"/>
      <w:szCs w:val="24"/>
    </w:r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8D6B02"/>
    <w:pPr>
      <w:spacing w:before="240" w:after="0"/>
      <w:outlineLvl w:val="9"/>
    </w:pPr>
    <w:rPr>
      <w:sz w:val="32"/>
      <w:szCs w:val="32"/>
    </w:rPr>
  </w:style>
  <w:style w:type="paragraph" w:styleId="TDC1">
    <w:name w:val="toc 1"/>
    <w:basedOn w:val="Normal"/>
    <w:next w:val="Normal"/>
    <w:autoRedefine/>
    <w:uiPriority w:val="39"/>
    <w:unhideWhenUsed/>
    <w:rsid w:val="008D6B02"/>
    <w:pPr>
      <w:spacing w:after="100"/>
    </w:pPr>
  </w:style>
  <w:style w:type="paragraph" w:styleId="TDC2">
    <w:name w:val="toc 2"/>
    <w:basedOn w:val="Normal"/>
    <w:next w:val="Normal"/>
    <w:autoRedefine/>
    <w:uiPriority w:val="39"/>
    <w:unhideWhenUsed/>
    <w:rsid w:val="008D6B02"/>
    <w:pPr>
      <w:spacing w:after="100"/>
      <w:ind w:left="220"/>
    </w:pPr>
  </w:style>
  <w:style w:type="paragraph" w:styleId="TDC3">
    <w:name w:val="toc 3"/>
    <w:basedOn w:val="Normal"/>
    <w:next w:val="Normal"/>
    <w:autoRedefine/>
    <w:uiPriority w:val="39"/>
    <w:unhideWhenUsed/>
    <w:rsid w:val="008D6B02"/>
    <w:pPr>
      <w:spacing w:after="100"/>
      <w:ind w:left="440"/>
    </w:pPr>
  </w:style>
  <w:style w:type="paragraph" w:styleId="Revisin">
    <w:name w:val="Revision"/>
    <w:hidden/>
    <w:uiPriority w:val="99"/>
    <w:semiHidden/>
    <w:rsid w:val="00A727CB"/>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905380"/>
    <w:rPr>
      <w:b/>
      <w:bCs/>
    </w:rPr>
  </w:style>
  <w:style w:type="character" w:customStyle="1" w:styleId="AsuntodelcomentarioCar">
    <w:name w:val="Asunto del comentario Car"/>
    <w:basedOn w:val="TextocomentarioCar"/>
    <w:link w:val="Asuntodelcomentario"/>
    <w:uiPriority w:val="99"/>
    <w:semiHidden/>
    <w:rsid w:val="009053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n9.cl/3msk" TargetMode="External"/><Relationship Id="rId18" Type="http://schemas.openxmlformats.org/officeDocument/2006/relationships/hyperlink" Target="https://n9.cl/c8kn76" TargetMode="External"/><Relationship Id="rId26" Type="http://schemas.openxmlformats.org/officeDocument/2006/relationships/hyperlink" Target="https://www.youtube.com/watch?v=vFe3F7uwvE8" TargetMode="External"/><Relationship Id="rId39" Type="http://schemas.openxmlformats.org/officeDocument/2006/relationships/hyperlink" Target="https://www.youtube.com/watch?v=vFe3F7uwvE8" TargetMode="External"/><Relationship Id="rId21" Type="http://schemas.openxmlformats.org/officeDocument/2006/relationships/hyperlink" Target="https://www.oacnudh.org/nicaragua-la-reforma-constitucional-profundiza-retrocesos-en-libertades-civiles-y-politicas/" TargetMode="External"/><Relationship Id="rId34" Type="http://schemas.openxmlformats.org/officeDocument/2006/relationships/hyperlink" Target="https://n9.cl/n5vdj" TargetMode="External"/><Relationship Id="rId42" Type="http://schemas.openxmlformats.org/officeDocument/2006/relationships/hyperlink" Target="https://www.youtube.com/watch?v=vFe3F7uwvE8" TargetMode="External"/><Relationship Id="rId7" Type="http://schemas.openxmlformats.org/officeDocument/2006/relationships/hyperlink" Target="https://n9.cl/jbjeu" TargetMode="External"/><Relationship Id="rId2" Type="http://schemas.openxmlformats.org/officeDocument/2006/relationships/hyperlink" Target="https://www.laprensani.com/2024/10/30/derecho-humano-ni/3396042-leonel-poveda-el-preso-politico-condenado-a-133-anos-de-carcel" TargetMode="External"/><Relationship Id="rId16" Type="http://schemas.openxmlformats.org/officeDocument/2006/relationships/hyperlink" Target="https://n9.cl/n310" TargetMode="External"/><Relationship Id="rId20" Type="http://schemas.openxmlformats.org/officeDocument/2006/relationships/hyperlink" Target="https://n9.cl/3f1ad" TargetMode="External"/><Relationship Id="rId29" Type="http://schemas.openxmlformats.org/officeDocument/2006/relationships/hyperlink" Target="https://n9.cl/awgxu" TargetMode="External"/><Relationship Id="rId41" Type="http://schemas.openxmlformats.org/officeDocument/2006/relationships/hyperlink" Target="https://www.youtube.com/watch?v=vFe3F7uwvE8" TargetMode="External"/><Relationship Id="rId1" Type="http://schemas.openxmlformats.org/officeDocument/2006/relationships/hyperlink" Target="https://www.laprensani.com/2012/12/27/politica/128709-la-oposicion-en-ciudad-dario" TargetMode="External"/><Relationship Id="rId6" Type="http://schemas.openxmlformats.org/officeDocument/2006/relationships/hyperlink" Target="https://n9.cl/vfqcl" TargetMode="External"/><Relationship Id="rId11" Type="http://schemas.openxmlformats.org/officeDocument/2006/relationships/hyperlink" Target="https://n9.cl/pzpy2" TargetMode="External"/><Relationship Id="rId24" Type="http://schemas.openxmlformats.org/officeDocument/2006/relationships/hyperlink" Target="https://n9.cl/ebtfz" TargetMode="External"/><Relationship Id="rId32" Type="http://schemas.openxmlformats.org/officeDocument/2006/relationships/hyperlink" Target="https://n9.cl/6p655" TargetMode="External"/><Relationship Id="rId37" Type="http://schemas.openxmlformats.org/officeDocument/2006/relationships/hyperlink" Target="https://n9.cl/yxvcav" TargetMode="External"/><Relationship Id="rId40" Type="http://schemas.openxmlformats.org/officeDocument/2006/relationships/hyperlink" Target="https://www.youtube.com/watch?v=vFe3F7uwvE8" TargetMode="External"/><Relationship Id="rId5" Type="http://schemas.openxmlformats.org/officeDocument/2006/relationships/hyperlink" Target="https://n9.cl/tnjmq" TargetMode="External"/><Relationship Id="rId15" Type="http://schemas.openxmlformats.org/officeDocument/2006/relationships/hyperlink" Target="https://n9.cl/hjk7a" TargetMode="External"/><Relationship Id="rId23" Type="http://schemas.openxmlformats.org/officeDocument/2006/relationships/hyperlink" Target="https://n9.cl/2s4txl" TargetMode="External"/><Relationship Id="rId28" Type="http://schemas.openxmlformats.org/officeDocument/2006/relationships/hyperlink" Target="https://n9.cl/1zk9z6" TargetMode="External"/><Relationship Id="rId36" Type="http://schemas.openxmlformats.org/officeDocument/2006/relationships/hyperlink" Target="https://n9.cl/upopg" TargetMode="External"/><Relationship Id="rId10" Type="http://schemas.openxmlformats.org/officeDocument/2006/relationships/hyperlink" Target="https://n9.cl/r1xis" TargetMode="External"/><Relationship Id="rId19" Type="http://schemas.openxmlformats.org/officeDocument/2006/relationships/hyperlink" Target="https://n9.cl/d53r4" TargetMode="External"/><Relationship Id="rId31" Type="http://schemas.openxmlformats.org/officeDocument/2006/relationships/hyperlink" Target="https://n9.cl/wf7chf" TargetMode="External"/><Relationship Id="rId4" Type="http://schemas.openxmlformats.org/officeDocument/2006/relationships/hyperlink" Target="https://n9.cl/8uk0hu" TargetMode="External"/><Relationship Id="rId9" Type="http://schemas.openxmlformats.org/officeDocument/2006/relationships/hyperlink" Target="https://n9.cl/5u6uu" TargetMode="External"/><Relationship Id="rId14" Type="http://schemas.openxmlformats.org/officeDocument/2006/relationships/hyperlink" Target="https://n9.cl/5teyd1" TargetMode="External"/><Relationship Id="rId22" Type="http://schemas.openxmlformats.org/officeDocument/2006/relationships/hyperlink" Target="https://n9.cl/76lxc" TargetMode="External"/><Relationship Id="rId27" Type="http://schemas.openxmlformats.org/officeDocument/2006/relationships/hyperlink" Target="https://n9.cl/dylxi" TargetMode="External"/><Relationship Id="rId30" Type="http://schemas.openxmlformats.org/officeDocument/2006/relationships/hyperlink" Target="https://n9.cl/4wn2m0" TargetMode="External"/><Relationship Id="rId35" Type="http://schemas.openxmlformats.org/officeDocument/2006/relationships/hyperlink" Target="https://n9.cl/y00ih" TargetMode="External"/><Relationship Id="rId8" Type="http://schemas.openxmlformats.org/officeDocument/2006/relationships/hyperlink" Target="https://n9.cl/usbp7" TargetMode="External"/><Relationship Id="rId3" Type="http://schemas.openxmlformats.org/officeDocument/2006/relationships/hyperlink" Target="https://n9.cl/j6fno3" TargetMode="External"/><Relationship Id="rId12" Type="http://schemas.openxmlformats.org/officeDocument/2006/relationships/hyperlink" Target="https://n9.cl/kchwv" TargetMode="External"/><Relationship Id="rId17" Type="http://schemas.openxmlformats.org/officeDocument/2006/relationships/hyperlink" Target="https://n9.cl/sb4b4" TargetMode="External"/><Relationship Id="rId25" Type="http://schemas.openxmlformats.org/officeDocument/2006/relationships/hyperlink" Target="https://n9.cl/2332h" TargetMode="External"/><Relationship Id="rId33" Type="http://schemas.openxmlformats.org/officeDocument/2006/relationships/hyperlink" Target="https://n9.cl/glial0" TargetMode="External"/><Relationship Id="rId38" Type="http://schemas.openxmlformats.org/officeDocument/2006/relationships/hyperlink" Target="https://n9.cl/1zk9z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qIrNQsIEnhlmwz4E8ZZe5iPA1A==">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</go:docsCustomData>
</go:gDocsCustomXmlDataStorage>
</file>

<file path=customXml/itemProps1.xml><?xml version="1.0" encoding="utf-8"?>
<ds:datastoreItem xmlns:ds="http://schemas.openxmlformats.org/officeDocument/2006/customXml" ds:itemID="{C8DD2AEF-B410-4805-AA8D-8D528606DD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8609</Words>
  <Characters>47353</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UDJ</dc:creator>
  <cp:lastModifiedBy>William Montalvan Cornejo</cp:lastModifiedBy>
  <cp:revision>3</cp:revision>
  <cp:lastPrinted>2025-05-30T06:07:00Z</cp:lastPrinted>
  <dcterms:created xsi:type="dcterms:W3CDTF">2025-07-10T08:44:00Z</dcterms:created>
  <dcterms:modified xsi:type="dcterms:W3CDTF">2025-07-10T08:47:00Z</dcterms:modified>
</cp:coreProperties>
</file>